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C7552D"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(в ред. решени</w:t>
      </w:r>
      <w:r w:rsidR="001557E3">
        <w:rPr>
          <w:color w:val="0070C0"/>
          <w:sz w:val="28"/>
          <w:szCs w:val="28"/>
        </w:rPr>
        <w:t>й</w:t>
      </w:r>
      <w:r w:rsidRPr="001217A1">
        <w:rPr>
          <w:color w:val="0070C0"/>
          <w:sz w:val="28"/>
          <w:szCs w:val="28"/>
        </w:rPr>
        <w:t xml:space="preserve"> </w:t>
      </w:r>
      <w:r w:rsidR="001557E3">
        <w:rPr>
          <w:color w:val="0070C0"/>
          <w:sz w:val="28"/>
          <w:szCs w:val="28"/>
        </w:rPr>
        <w:t>Совета Нижнеомского муниципального района Омской области</w:t>
      </w:r>
      <w:r w:rsidR="001557E3" w:rsidRPr="001217A1">
        <w:rPr>
          <w:color w:val="0070C0"/>
          <w:sz w:val="28"/>
          <w:szCs w:val="28"/>
        </w:rPr>
        <w:t xml:space="preserve"> </w:t>
      </w:r>
      <w:r w:rsidRPr="001217A1">
        <w:rPr>
          <w:color w:val="0070C0"/>
          <w:sz w:val="28"/>
          <w:szCs w:val="28"/>
        </w:rPr>
        <w:t xml:space="preserve">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001557E3">
        <w:rPr>
          <w:color w:val="0070C0"/>
          <w:sz w:val="28"/>
          <w:szCs w:val="28"/>
        </w:rPr>
        <w:t>, от 28.05.2021 г. № 32</w:t>
      </w:r>
      <w:r w:rsidR="001E647E">
        <w:rPr>
          <w:color w:val="0070C0"/>
          <w:sz w:val="28"/>
          <w:szCs w:val="28"/>
        </w:rPr>
        <w:t>, от 20.08.2021 г. № 54</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1E647E" w:rsidRPr="001E647E">
        <w:rPr>
          <w:color w:val="auto"/>
          <w:sz w:val="28"/>
          <w:szCs w:val="28"/>
        </w:rPr>
        <w:t>459 150 668,99</w:t>
      </w:r>
      <w:r w:rsidR="001E647E">
        <w:rPr>
          <w:color w:val="auto"/>
          <w:sz w:val="28"/>
          <w:szCs w:val="28"/>
        </w:rPr>
        <w:t xml:space="preserve">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sidR="00483D8A">
        <w:rPr>
          <w:color w:val="0070C0"/>
          <w:sz w:val="28"/>
          <w:szCs w:val="28"/>
        </w:rPr>
        <w:t>Совета Нижнеомского муниципального района Омской области</w:t>
      </w:r>
      <w:r w:rsidR="00483D8A"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83D8A">
        <w:rPr>
          <w:color w:val="0070C0"/>
          <w:sz w:val="28"/>
          <w:szCs w:val="28"/>
        </w:rPr>
        <w:t>, от 28.05.2021 г. № 32</w:t>
      </w:r>
      <w:r w:rsidR="006D0AB8">
        <w:rPr>
          <w:color w:val="0070C0"/>
          <w:sz w:val="28"/>
          <w:szCs w:val="28"/>
        </w:rPr>
        <w:t>, от 20.08.2021 г. № 54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6D0AB8" w:rsidRPr="006D0AB8">
        <w:rPr>
          <w:color w:val="auto"/>
          <w:sz w:val="28"/>
          <w:szCs w:val="28"/>
        </w:rPr>
        <w:t>462 150 668,99</w:t>
      </w:r>
      <w:r w:rsidR="006D0AB8">
        <w:rPr>
          <w:color w:val="auto"/>
          <w:sz w:val="28"/>
          <w:szCs w:val="28"/>
        </w:rPr>
        <w:t xml:space="preserve"> </w:t>
      </w:r>
      <w:r>
        <w:rPr>
          <w:spacing w:val="-2"/>
          <w:sz w:val="28"/>
          <w:szCs w:val="28"/>
        </w:rPr>
        <w:t>руб.;</w:t>
      </w:r>
    </w:p>
    <w:p w:rsidR="006C760E" w:rsidRPr="00227DA9" w:rsidRDefault="006C760E" w:rsidP="006C760E">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6D0AB8">
        <w:rPr>
          <w:color w:val="0070C0"/>
          <w:sz w:val="28"/>
          <w:szCs w:val="28"/>
        </w:rPr>
        <w:t>, от 20.08.2021г. № 54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227DA9">
        <w:rPr>
          <w:sz w:val="28"/>
          <w:szCs w:val="28"/>
        </w:rPr>
        <w:t>3 000 00</w:t>
      </w:r>
      <w:r w:rsidR="00227DA9" w:rsidRPr="009600E0">
        <w:rPr>
          <w:sz w:val="28"/>
          <w:szCs w:val="28"/>
        </w:rPr>
        <w:t>0,00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 xml:space="preserve">(в ред. решения </w:t>
      </w:r>
      <w:r w:rsidR="00350DF8">
        <w:rPr>
          <w:color w:val="0070C0"/>
          <w:sz w:val="28"/>
          <w:szCs w:val="28"/>
        </w:rPr>
        <w:t>Совета Нижнеомского муниципального района Омской области</w:t>
      </w:r>
      <w:r w:rsidR="00350DF8"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7C4E55">
      <w:pPr>
        <w:ind w:firstLine="700"/>
        <w:jc w:val="both"/>
        <w:rPr>
          <w:spacing w:val="-2"/>
          <w:sz w:val="28"/>
          <w:szCs w:val="28"/>
        </w:rPr>
      </w:pPr>
      <w:r w:rsidRPr="008F0B0D">
        <w:rPr>
          <w:spacing w:val="-2"/>
          <w:sz w:val="28"/>
          <w:szCs w:val="28"/>
        </w:rPr>
        <w:t>1) общий объем доходов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7C4E55">
      <w:pPr>
        <w:ind w:firstLine="700"/>
        <w:jc w:val="both"/>
        <w:rPr>
          <w:spacing w:val="-2"/>
          <w:sz w:val="28"/>
          <w:szCs w:val="28"/>
        </w:rPr>
      </w:pPr>
      <w:r w:rsidRPr="008F0B0D">
        <w:rPr>
          <w:spacing w:val="-2"/>
          <w:sz w:val="28"/>
          <w:szCs w:val="28"/>
        </w:rPr>
        <w:t>2) общий объем расходов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в том числе условно утвержденные расходы в сумме </w:t>
      </w:r>
      <w:r>
        <w:rPr>
          <w:spacing w:val="-2"/>
          <w:sz w:val="28"/>
          <w:szCs w:val="28"/>
        </w:rPr>
        <w:t>4 318 576,32</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 в том числе условно утвержденные расходы в сумме </w:t>
      </w:r>
      <w:r>
        <w:rPr>
          <w:spacing w:val="-2"/>
          <w:sz w:val="28"/>
          <w:szCs w:val="28"/>
        </w:rPr>
        <w:t>8 805 106,29</w:t>
      </w:r>
      <w:r w:rsidRPr="008F0B0D">
        <w:rPr>
          <w:spacing w:val="-2"/>
          <w:sz w:val="28"/>
          <w:szCs w:val="28"/>
        </w:rPr>
        <w:t xml:space="preserve"> руб.;</w:t>
      </w:r>
    </w:p>
    <w:p w:rsidR="007C4E55" w:rsidRDefault="007C4E55" w:rsidP="007C4E55">
      <w:pPr>
        <w:autoSpaceDE w:val="0"/>
        <w:autoSpaceDN w:val="0"/>
        <w:adjustRightInd w:val="0"/>
        <w:ind w:firstLine="700"/>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rPr>
          <w:spacing w:val="-2"/>
          <w:sz w:val="28"/>
          <w:szCs w:val="28"/>
        </w:rPr>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91149B" w:rsidRDefault="0091149B">
      <w:pPr>
        <w:ind w:firstLine="700"/>
        <w:jc w:val="both"/>
      </w:pP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9">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10">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1">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Pr>
          <w:sz w:val="28"/>
          <w:szCs w:val="28"/>
        </w:rPr>
        <w:t>6 635 254,00</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rPr>
          <w:sz w:val="28"/>
          <w:szCs w:val="28"/>
        </w:rPr>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плановый период 2022 и 2023 годов согласно </w:t>
      </w:r>
      <w:hyperlink r:id="rId12">
        <w:r>
          <w:rPr>
            <w:rStyle w:val="ListLabel1"/>
          </w:rPr>
          <w:t>приложению № </w:t>
        </w:r>
      </w:hyperlink>
      <w:r>
        <w:rPr>
          <w:sz w:val="28"/>
          <w:szCs w:val="28"/>
        </w:rPr>
        <w:t>4 к настоящему решению;</w:t>
      </w:r>
    </w:p>
    <w:p w:rsidR="005E7849" w:rsidRDefault="005E7849">
      <w:pPr>
        <w:ind w:firstLine="700"/>
        <w:jc w:val="both"/>
        <w:rPr>
          <w:sz w:val="28"/>
          <w:szCs w:val="28"/>
        </w:rPr>
      </w:pPr>
    </w:p>
    <w:p w:rsidR="005E7849" w:rsidRDefault="005E7849">
      <w:pPr>
        <w:ind w:firstLine="700"/>
        <w:jc w:val="both"/>
        <w:rPr>
          <w:sz w:val="28"/>
          <w:szCs w:val="28"/>
        </w:rPr>
      </w:pPr>
    </w:p>
    <w:p w:rsidR="005E7849" w:rsidRDefault="005E7849">
      <w:pPr>
        <w:ind w:firstLine="700"/>
        <w:jc w:val="both"/>
      </w:pP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3">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4">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 xml:space="preserve">4. Установить в соответствии с </w:t>
      </w:r>
      <w:hyperlink r:id="rId15">
        <w:r>
          <w:rPr>
            <w:rStyle w:val="ListLabel1"/>
          </w:rPr>
          <w:t>пунктом 8 статьи 217</w:t>
        </w:r>
      </w:hyperlink>
      <w:r>
        <w:rPr>
          <w:sz w:val="28"/>
          <w:szCs w:val="28"/>
        </w:rPr>
        <w:t xml:space="preserve"> Бюджетного кодекса Российской Федерации, </w:t>
      </w:r>
      <w:hyperlink r:id="rId16">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002BDD" w:rsidRDefault="00002BDD">
      <w:pPr>
        <w:ind w:firstLine="700"/>
        <w:jc w:val="both"/>
        <w:rPr>
          <w:sz w:val="28"/>
          <w:szCs w:val="28"/>
        </w:rPr>
      </w:pP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5263F9" w:rsidRDefault="004B6DC4">
      <w:pPr>
        <w:ind w:firstLine="700"/>
        <w:jc w:val="both"/>
        <w:rPr>
          <w:sz w:val="28"/>
          <w:szCs w:val="28"/>
        </w:rPr>
      </w:pPr>
      <w:r>
        <w:rPr>
          <w:sz w:val="28"/>
          <w:szCs w:val="28"/>
        </w:rPr>
        <w:t xml:space="preserve">- перераспределение бюджетных ассигнований на реализацию мероприятий в рамках муниципальных программ Нижнеомского </w:t>
      </w:r>
    </w:p>
    <w:p w:rsidR="005263F9" w:rsidRDefault="005263F9">
      <w:pPr>
        <w:ind w:firstLine="700"/>
        <w:jc w:val="both"/>
        <w:rPr>
          <w:sz w:val="28"/>
          <w:szCs w:val="28"/>
        </w:rPr>
      </w:pPr>
    </w:p>
    <w:p w:rsidR="00BB4532" w:rsidRDefault="004B6DC4">
      <w:pPr>
        <w:ind w:firstLine="700"/>
        <w:jc w:val="both"/>
      </w:pPr>
      <w:r>
        <w:rPr>
          <w:sz w:val="28"/>
          <w:szCs w:val="28"/>
        </w:rPr>
        <w:t>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002BDD" w:rsidRDefault="004B6DC4">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w:t>
      </w:r>
    </w:p>
    <w:p w:rsidR="00002BDD" w:rsidRDefault="004B6DC4">
      <w:pPr>
        <w:ind w:firstLine="700"/>
        <w:jc w:val="both"/>
        <w:rPr>
          <w:sz w:val="28"/>
          <w:szCs w:val="28"/>
        </w:rPr>
      </w:pPr>
      <w:r>
        <w:rPr>
          <w:sz w:val="28"/>
          <w:szCs w:val="28"/>
        </w:rPr>
        <w:lastRenderedPageBreak/>
        <w:t xml:space="preserve"> </w:t>
      </w:r>
    </w:p>
    <w:p w:rsidR="00BB4532" w:rsidRDefault="004B6DC4" w:rsidP="00002BDD">
      <w:pPr>
        <w:jc w:val="both"/>
        <w:rPr>
          <w:sz w:val="28"/>
          <w:szCs w:val="28"/>
        </w:rPr>
      </w:pPr>
      <w:r>
        <w:rPr>
          <w:sz w:val="28"/>
          <w:szCs w:val="28"/>
        </w:rPr>
        <w:t>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2021 год в размере 200 000,00 руб.</w:t>
      </w:r>
    </w:p>
    <w:p w:rsidR="005E7849" w:rsidRDefault="005E7849">
      <w:pPr>
        <w:ind w:firstLine="700"/>
        <w:jc w:val="both"/>
        <w:rPr>
          <w:sz w:val="28"/>
          <w:szCs w:val="28"/>
        </w:rPr>
      </w:pP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5263F9"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FD6E86" w:rsidRDefault="00FD6E86">
      <w:pPr>
        <w:ind w:firstLine="700"/>
        <w:jc w:val="both"/>
        <w:rPr>
          <w:sz w:val="28"/>
          <w:szCs w:val="28"/>
        </w:rPr>
      </w:pP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w:t>
      </w:r>
      <w:r w:rsidR="00073A8F">
        <w:rPr>
          <w:color w:val="0070C0"/>
          <w:sz w:val="28"/>
          <w:szCs w:val="28"/>
        </w:rPr>
        <w:t>Совета Нижнеомского муниципального района Омской области</w:t>
      </w:r>
      <w:r w:rsidR="00073A8F" w:rsidRPr="002A39E6">
        <w:rPr>
          <w:color w:val="0070C0"/>
          <w:sz w:val="28"/>
          <w:szCs w:val="28"/>
        </w:rPr>
        <w:t xml:space="preserve"> </w:t>
      </w:r>
      <w:r w:rsidRPr="002A39E6">
        <w:rPr>
          <w:color w:val="0070C0"/>
          <w:sz w:val="28"/>
          <w:szCs w:val="28"/>
        </w:rPr>
        <w:t xml:space="preserve">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5A4DBC">
      <w:pPr>
        <w:ind w:firstLine="700"/>
        <w:jc w:val="both"/>
        <w:rPr>
          <w:sz w:val="28"/>
          <w:szCs w:val="28"/>
        </w:rPr>
      </w:pPr>
      <w:r w:rsidRPr="005A4DBC">
        <w:rPr>
          <w:color w:val="auto"/>
          <w:sz w:val="28"/>
          <w:szCs w:val="28"/>
        </w:rPr>
        <w:t>1) объем межбюджетных трансфертов, получаемых из других бюджетов бюджетной системы Российской Федерации, в 2021 году в сумме 374</w:t>
      </w:r>
      <w:r w:rsidR="008D5944">
        <w:rPr>
          <w:color w:val="auto"/>
          <w:sz w:val="28"/>
          <w:szCs w:val="28"/>
        </w:rPr>
        <w:t> 566 162,89</w:t>
      </w:r>
      <w:r w:rsidRPr="005A4DBC">
        <w:rPr>
          <w:color w:val="auto"/>
          <w:sz w:val="28"/>
          <w:szCs w:val="28"/>
        </w:rPr>
        <w:t xml:space="preserve"> руб., в 2022 году в сумме 299 381 745,11 руб. и в 2023 году в сумме 285 570 846,31 руб.;</w:t>
      </w:r>
    </w:p>
    <w:p w:rsidR="005C7554" w:rsidRDefault="005C7554" w:rsidP="005C7554">
      <w:pPr>
        <w:autoSpaceDE w:val="0"/>
        <w:autoSpaceDN w:val="0"/>
        <w:adjustRightInd w:val="0"/>
        <w:ind w:firstLine="700"/>
      </w:pPr>
      <w:r w:rsidRPr="00227DA9">
        <w:rPr>
          <w:color w:val="0070C0"/>
          <w:sz w:val="28"/>
          <w:szCs w:val="28"/>
        </w:rPr>
        <w:t>(в ред. решени</w:t>
      </w:r>
      <w:r w:rsidR="005A4DBC">
        <w:rPr>
          <w:color w:val="0070C0"/>
          <w:sz w:val="28"/>
          <w:szCs w:val="28"/>
        </w:rPr>
        <w:t>й</w:t>
      </w:r>
      <w:r w:rsidRPr="00227DA9">
        <w:rPr>
          <w:color w:val="0070C0"/>
          <w:sz w:val="28"/>
          <w:szCs w:val="28"/>
        </w:rPr>
        <w:t xml:space="preserve"> </w:t>
      </w:r>
      <w:r w:rsidR="005A4DBC">
        <w:rPr>
          <w:color w:val="0070C0"/>
          <w:sz w:val="28"/>
          <w:szCs w:val="28"/>
        </w:rPr>
        <w:t>Совета Нижнеомского муниципального района Омской области</w:t>
      </w:r>
      <w:r w:rsidR="005A4DBC"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DC121F">
        <w:rPr>
          <w:color w:val="0070C0"/>
          <w:sz w:val="28"/>
          <w:szCs w:val="28"/>
        </w:rPr>
        <w:t>, от 28.05.2021 г. № 32</w:t>
      </w:r>
      <w:r w:rsidR="008D5944">
        <w:rPr>
          <w:color w:val="0070C0"/>
          <w:sz w:val="28"/>
          <w:szCs w:val="28"/>
        </w:rPr>
        <w:t>, от 20.08.2021 г. № 54</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BB032C">
        <w:rPr>
          <w:sz w:val="28"/>
          <w:szCs w:val="28"/>
        </w:rPr>
        <w:t>34 930 488,</w:t>
      </w:r>
      <w:r w:rsidR="005A4DBC" w:rsidRPr="005A4DBC">
        <w:rPr>
          <w:color w:val="auto"/>
          <w:sz w:val="28"/>
          <w:szCs w:val="28"/>
        </w:rPr>
        <w:t>00</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BA04D4" w:rsidRDefault="00BA04D4" w:rsidP="00BA04D4">
      <w:pPr>
        <w:autoSpaceDE w:val="0"/>
        <w:autoSpaceDN w:val="0"/>
        <w:adjustRightInd w:val="0"/>
        <w:ind w:firstLine="700"/>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8D5944">
        <w:rPr>
          <w:color w:val="0070C0"/>
          <w:sz w:val="28"/>
          <w:szCs w:val="28"/>
        </w:rPr>
        <w:t>, от 20.08.2021 г. № 54</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7">
        <w:r>
          <w:rPr>
            <w:rStyle w:val="ListLabel1"/>
          </w:rPr>
          <w:t>приложению № </w:t>
        </w:r>
      </w:hyperlink>
      <w:r>
        <w:rPr>
          <w:sz w:val="28"/>
          <w:szCs w:val="28"/>
        </w:rPr>
        <w:t>7 к настоящему решению.</w:t>
      </w:r>
    </w:p>
    <w:p w:rsidR="00F367C8" w:rsidRPr="00F367C8" w:rsidRDefault="00F367C8" w:rsidP="00F367C8">
      <w:pPr>
        <w:ind w:firstLine="700"/>
        <w:jc w:val="both"/>
        <w:rPr>
          <w:color w:val="auto"/>
          <w:sz w:val="28"/>
          <w:szCs w:val="28"/>
        </w:rPr>
      </w:pPr>
      <w:bookmarkStart w:id="0" w:name="Par197"/>
      <w:bookmarkEnd w:id="0"/>
      <w:r w:rsidRPr="00F367C8">
        <w:rPr>
          <w:color w:val="auto"/>
          <w:sz w:val="28"/>
          <w:szCs w:val="28"/>
        </w:rPr>
        <w:t>3. Утвердить объем иных межбюджетных трансфертов бюджетам поселений на 2021 год в сумме 13 354 393,00 руб., на 2022 год в сумме 0,00 руб. и на 2023 год в сумме 0,00 руб.</w:t>
      </w:r>
    </w:p>
    <w:p w:rsidR="00F367C8" w:rsidRPr="00F367C8" w:rsidRDefault="00F367C8" w:rsidP="00F367C8">
      <w:pPr>
        <w:keepNext/>
        <w:autoSpaceDE w:val="0"/>
        <w:autoSpaceDN w:val="0"/>
        <w:adjustRightInd w:val="0"/>
        <w:ind w:firstLine="697"/>
        <w:jc w:val="both"/>
        <w:rPr>
          <w:color w:val="auto"/>
          <w:spacing w:val="-4"/>
          <w:sz w:val="28"/>
          <w:szCs w:val="28"/>
        </w:rPr>
      </w:pPr>
      <w:r w:rsidRPr="00F367C8">
        <w:rPr>
          <w:color w:val="auto"/>
          <w:spacing w:val="-4"/>
          <w:sz w:val="28"/>
          <w:szCs w:val="28"/>
        </w:rPr>
        <w:t>Установить, что иные межбюджетные трансферты предоставляются на:</w:t>
      </w:r>
    </w:p>
    <w:p w:rsid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F367C8" w:rsidRDefault="00F367C8" w:rsidP="00F367C8">
      <w:pPr>
        <w:widowControl w:val="0"/>
        <w:autoSpaceDE w:val="0"/>
        <w:autoSpaceDN w:val="0"/>
        <w:adjustRightInd w:val="0"/>
        <w:ind w:firstLine="540"/>
        <w:jc w:val="both"/>
        <w:rPr>
          <w:color w:val="auto"/>
          <w:sz w:val="28"/>
          <w:szCs w:val="28"/>
        </w:rPr>
      </w:pPr>
    </w:p>
    <w:p w:rsidR="00F367C8" w:rsidRPr="00F367C8" w:rsidRDefault="00F367C8" w:rsidP="00F367C8">
      <w:pPr>
        <w:widowControl w:val="0"/>
        <w:autoSpaceDE w:val="0"/>
        <w:autoSpaceDN w:val="0"/>
        <w:adjustRightInd w:val="0"/>
        <w:ind w:firstLine="540"/>
        <w:jc w:val="both"/>
        <w:rPr>
          <w:color w:val="auto"/>
          <w:sz w:val="28"/>
          <w:szCs w:val="28"/>
        </w:rPr>
      </w:pPr>
    </w:p>
    <w:p w:rsidR="00F367C8" w:rsidRPr="00F367C8" w:rsidRDefault="00F367C8" w:rsidP="00F367C8">
      <w:pPr>
        <w:jc w:val="both"/>
        <w:rPr>
          <w:color w:val="auto"/>
          <w:sz w:val="28"/>
          <w:szCs w:val="28"/>
          <w:lang w:eastAsia="en-US"/>
        </w:rPr>
      </w:pPr>
      <w:r w:rsidRPr="00F367C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xml:space="preserve"> -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367C8" w:rsidRPr="00F367C8" w:rsidRDefault="00F367C8" w:rsidP="00F367C8">
      <w:pPr>
        <w:keepNext/>
        <w:autoSpaceDE w:val="0"/>
        <w:autoSpaceDN w:val="0"/>
        <w:adjustRightInd w:val="0"/>
        <w:ind w:firstLine="697"/>
        <w:jc w:val="both"/>
        <w:rPr>
          <w:color w:val="auto"/>
          <w:sz w:val="28"/>
          <w:szCs w:val="28"/>
          <w:lang w:eastAsia="en-US"/>
        </w:rPr>
      </w:pPr>
      <w:r w:rsidRPr="00F367C8">
        <w:rPr>
          <w:color w:val="auto"/>
          <w:sz w:val="28"/>
          <w:szCs w:val="28"/>
          <w:lang w:eastAsia="en-US"/>
        </w:rPr>
        <w:t>-   участие в организации и финансировании проведения общественных работ;</w:t>
      </w:r>
    </w:p>
    <w:p w:rsidR="00F367C8" w:rsidRPr="00F367C8" w:rsidRDefault="00F367C8" w:rsidP="00F367C8">
      <w:pPr>
        <w:keepNext/>
        <w:autoSpaceDE w:val="0"/>
        <w:autoSpaceDN w:val="0"/>
        <w:adjustRightInd w:val="0"/>
        <w:ind w:firstLine="697"/>
        <w:jc w:val="both"/>
        <w:rPr>
          <w:color w:val="auto"/>
          <w:sz w:val="28"/>
          <w:szCs w:val="28"/>
        </w:rPr>
      </w:pPr>
      <w:r w:rsidRPr="00F367C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F367C8">
        <w:rPr>
          <w:color w:val="auto"/>
          <w:sz w:val="28"/>
          <w:szCs w:val="28"/>
        </w:rPr>
        <w:t>по производству молока;</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оплату труда работникам муниципальных учреждений культуры;</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осуществление расходов из средств резервного фонда Администрации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xml:space="preserve">- проведение районного культурно-спортивного праздника «Королева спорта»; </w:t>
      </w:r>
    </w:p>
    <w:p w:rsidR="00F367C8" w:rsidRPr="00F367C8" w:rsidRDefault="00F367C8" w:rsidP="00F367C8">
      <w:pPr>
        <w:ind w:firstLine="708"/>
        <w:jc w:val="both"/>
        <w:rPr>
          <w:color w:val="auto"/>
          <w:sz w:val="28"/>
          <w:szCs w:val="28"/>
        </w:rPr>
      </w:pPr>
      <w:r w:rsidRPr="00F367C8">
        <w:rPr>
          <w:color w:val="auto"/>
          <w:sz w:val="28"/>
          <w:szCs w:val="28"/>
        </w:rPr>
        <w:t>- оплату потребления топливно-энергетических ресурсов.</w:t>
      </w:r>
    </w:p>
    <w:p w:rsidR="00F367C8" w:rsidRPr="00F367C8" w:rsidRDefault="00F367C8" w:rsidP="00F367C8">
      <w:pPr>
        <w:autoSpaceDE w:val="0"/>
        <w:autoSpaceDN w:val="0"/>
        <w:adjustRightInd w:val="0"/>
        <w:ind w:firstLine="700"/>
        <w:jc w:val="both"/>
        <w:rPr>
          <w:color w:val="auto"/>
          <w:sz w:val="28"/>
          <w:szCs w:val="28"/>
        </w:rPr>
      </w:pPr>
      <w:r w:rsidRPr="00F367C8">
        <w:rPr>
          <w:color w:val="auto"/>
          <w:sz w:val="28"/>
          <w:szCs w:val="28"/>
        </w:rPr>
        <w:t>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№8 к настоящему решению.</w:t>
      </w:r>
    </w:p>
    <w:p w:rsidR="00E01CC9" w:rsidRDefault="00F367C8" w:rsidP="00F367C8">
      <w:pPr>
        <w:autoSpaceDE w:val="0"/>
        <w:autoSpaceDN w:val="0"/>
        <w:adjustRightInd w:val="0"/>
        <w:ind w:firstLine="700"/>
        <w:jc w:val="both"/>
        <w:rPr>
          <w:color w:val="0070C0"/>
          <w:sz w:val="28"/>
          <w:szCs w:val="28"/>
        </w:rPr>
      </w:pPr>
      <w:r w:rsidRPr="00F367C8">
        <w:rPr>
          <w:color w:val="auto"/>
          <w:sz w:val="28"/>
          <w:szCs w:val="28"/>
        </w:rPr>
        <w:t>Утвердить распределение иных межбюджетных трансфертов бюджетам поселений на 2021 год и на плановый период 2022 и 2023 годов согласно приложению №9 к настоящему решению.</w:t>
      </w:r>
      <w:r w:rsidR="00E01CC9" w:rsidRPr="00227DA9">
        <w:rPr>
          <w:color w:val="0070C0"/>
          <w:sz w:val="28"/>
          <w:szCs w:val="28"/>
        </w:rPr>
        <w:t xml:space="preserve"> </w:t>
      </w:r>
    </w:p>
    <w:p w:rsidR="00E01CC9" w:rsidRDefault="00E01CC9" w:rsidP="00E01CC9">
      <w:pPr>
        <w:autoSpaceDE w:val="0"/>
        <w:autoSpaceDN w:val="0"/>
        <w:adjustRightInd w:val="0"/>
        <w:ind w:firstLine="700"/>
        <w:rPr>
          <w:color w:val="0070C0"/>
          <w:sz w:val="28"/>
          <w:szCs w:val="28"/>
        </w:rPr>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F367C8">
        <w:rPr>
          <w:color w:val="0070C0"/>
          <w:sz w:val="28"/>
          <w:szCs w:val="28"/>
        </w:rPr>
        <w:t>, от 20.08.2021 г. № 54</w:t>
      </w:r>
      <w:r w:rsidRPr="00227DA9">
        <w:rPr>
          <w:color w:val="0070C0"/>
          <w:sz w:val="28"/>
          <w:szCs w:val="28"/>
        </w:rPr>
        <w:t>)</w:t>
      </w:r>
    </w:p>
    <w:p w:rsidR="00E01CC9" w:rsidRDefault="00E01CC9" w:rsidP="00E01CC9">
      <w:pPr>
        <w:autoSpaceDE w:val="0"/>
        <w:autoSpaceDN w:val="0"/>
        <w:adjustRightInd w:val="0"/>
        <w:ind w:firstLine="700"/>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Pr="005F15E8" w:rsidRDefault="004B6DC4" w:rsidP="005F15E8">
      <w:pPr>
        <w:pStyle w:val="af"/>
        <w:numPr>
          <w:ilvl w:val="0"/>
          <w:numId w:val="1"/>
        </w:numPr>
        <w:jc w:val="both"/>
        <w:rPr>
          <w:sz w:val="28"/>
          <w:szCs w:val="28"/>
        </w:rPr>
      </w:pPr>
      <w:r w:rsidRPr="005F15E8">
        <w:rPr>
          <w:sz w:val="28"/>
          <w:szCs w:val="28"/>
        </w:rPr>
        <w:t>Установить:</w:t>
      </w:r>
    </w:p>
    <w:p w:rsidR="005F15E8" w:rsidRDefault="005F15E8" w:rsidP="005F15E8">
      <w:pPr>
        <w:jc w:val="both"/>
        <w:rPr>
          <w:sz w:val="28"/>
          <w:szCs w:val="28"/>
        </w:rPr>
      </w:pPr>
    </w:p>
    <w:p w:rsidR="005F15E8" w:rsidRPr="005F15E8" w:rsidRDefault="005F15E8" w:rsidP="005F15E8">
      <w:pPr>
        <w:jc w:val="both"/>
        <w:rPr>
          <w:sz w:val="28"/>
          <w:szCs w:val="28"/>
        </w:rPr>
      </w:pPr>
    </w:p>
    <w:p w:rsidR="00BB4532" w:rsidRDefault="004B6DC4" w:rsidP="005F15E8">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8">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9">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5F15E8" w:rsidRDefault="004B6DC4" w:rsidP="005F15E8">
      <w:pPr>
        <w:ind w:firstLine="700"/>
        <w:jc w:val="both"/>
        <w:rPr>
          <w:sz w:val="28"/>
          <w:szCs w:val="28"/>
        </w:rPr>
      </w:pPr>
      <w:r>
        <w:rPr>
          <w:sz w:val="28"/>
          <w:szCs w:val="28"/>
        </w:rPr>
        <w:t xml:space="preserve">1. Установить, что получатели средств районного бюджета при заключении договоров (муниципальных  контрактов) на поставки товаров, </w:t>
      </w:r>
    </w:p>
    <w:p w:rsidR="005F15E8" w:rsidRDefault="005F15E8" w:rsidP="005F15E8">
      <w:pPr>
        <w:ind w:firstLine="700"/>
        <w:jc w:val="both"/>
        <w:rPr>
          <w:sz w:val="28"/>
          <w:szCs w:val="28"/>
        </w:rPr>
      </w:pPr>
    </w:p>
    <w:p w:rsidR="00BB4532" w:rsidRDefault="004B6DC4" w:rsidP="005F15E8">
      <w:pPr>
        <w:jc w:val="both"/>
        <w:rPr>
          <w:sz w:val="28"/>
          <w:szCs w:val="28"/>
        </w:rPr>
      </w:pPr>
      <w:r>
        <w:rPr>
          <w:sz w:val="28"/>
          <w:szCs w:val="28"/>
        </w:rPr>
        <w:t>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CC4651" w:rsidRDefault="00CC4651">
      <w:pPr>
        <w:ind w:firstLine="700"/>
        <w:jc w:val="both"/>
        <w:rPr>
          <w:sz w:val="28"/>
          <w:szCs w:val="28"/>
        </w:rPr>
      </w:pPr>
    </w:p>
    <w:p w:rsidR="00CC4651" w:rsidRDefault="00CC4651">
      <w:pPr>
        <w:ind w:firstLine="700"/>
        <w:jc w:val="both"/>
        <w:rPr>
          <w:sz w:val="28"/>
          <w:szCs w:val="28"/>
        </w:rPr>
      </w:pPr>
    </w:p>
    <w:p w:rsidR="00CC4651" w:rsidRDefault="00CC4651">
      <w:pPr>
        <w:ind w:firstLine="700"/>
        <w:jc w:val="both"/>
        <w:rPr>
          <w:sz w:val="28"/>
          <w:szCs w:val="28"/>
        </w:rPr>
      </w:pP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2A557E"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w:t>
      </w:r>
    </w:p>
    <w:p w:rsidR="00BB4532" w:rsidRDefault="004B6DC4" w:rsidP="002A557E">
      <w:pPr>
        <w:jc w:val="both"/>
        <w:outlineLvl w:val="1"/>
        <w:rPr>
          <w:sz w:val="28"/>
          <w:szCs w:val="28"/>
        </w:rPr>
      </w:pPr>
      <w:bookmarkStart w:id="1" w:name="_GoBack"/>
      <w:bookmarkEnd w:id="1"/>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20"/>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52D" w:rsidRDefault="00C7552D">
      <w:r>
        <w:separator/>
      </w:r>
    </w:p>
  </w:endnote>
  <w:endnote w:type="continuationSeparator" w:id="0">
    <w:p w:rsidR="00C7552D" w:rsidRDefault="00C7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52D" w:rsidRDefault="00C7552D">
      <w:r>
        <w:separator/>
      </w:r>
    </w:p>
  </w:footnote>
  <w:footnote w:type="continuationSeparator" w:id="0">
    <w:p w:rsidR="00C7552D" w:rsidRDefault="00C75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C4651">
                            <w:rPr>
                              <w:rStyle w:val="a4"/>
                              <w:noProof/>
                              <w:sz w:val="28"/>
                              <w:szCs w:val="28"/>
                            </w:rPr>
                            <w:t>11</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C4651">
                      <w:rPr>
                        <w:rStyle w:val="a4"/>
                        <w:noProof/>
                        <w:sz w:val="28"/>
                        <w:szCs w:val="28"/>
                      </w:rPr>
                      <w:t>11</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141"/>
    <w:multiLevelType w:val="hybridMultilevel"/>
    <w:tmpl w:val="D0B65392"/>
    <w:lvl w:ilvl="0" w:tplc="8DC6803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02BDD"/>
    <w:rsid w:val="000305E4"/>
    <w:rsid w:val="00041C94"/>
    <w:rsid w:val="000469FA"/>
    <w:rsid w:val="0007374D"/>
    <w:rsid w:val="00073A8F"/>
    <w:rsid w:val="0007703C"/>
    <w:rsid w:val="0007723D"/>
    <w:rsid w:val="00082703"/>
    <w:rsid w:val="00095499"/>
    <w:rsid w:val="00097826"/>
    <w:rsid w:val="000A2EF8"/>
    <w:rsid w:val="000B54C3"/>
    <w:rsid w:val="000D714A"/>
    <w:rsid w:val="00106CB9"/>
    <w:rsid w:val="001138DC"/>
    <w:rsid w:val="001217A1"/>
    <w:rsid w:val="001557E3"/>
    <w:rsid w:val="00191163"/>
    <w:rsid w:val="001E647E"/>
    <w:rsid w:val="001F0EA1"/>
    <w:rsid w:val="001F17B1"/>
    <w:rsid w:val="00203B93"/>
    <w:rsid w:val="002172AD"/>
    <w:rsid w:val="00227DA9"/>
    <w:rsid w:val="002449AA"/>
    <w:rsid w:val="00255F5F"/>
    <w:rsid w:val="0026352F"/>
    <w:rsid w:val="002A39E6"/>
    <w:rsid w:val="002A557E"/>
    <w:rsid w:val="00350DF8"/>
    <w:rsid w:val="00354082"/>
    <w:rsid w:val="0039325C"/>
    <w:rsid w:val="003D09E4"/>
    <w:rsid w:val="00401560"/>
    <w:rsid w:val="004129BB"/>
    <w:rsid w:val="00417FBE"/>
    <w:rsid w:val="00424857"/>
    <w:rsid w:val="00445D48"/>
    <w:rsid w:val="00464D2B"/>
    <w:rsid w:val="00483D8A"/>
    <w:rsid w:val="004B6DC4"/>
    <w:rsid w:val="005263F9"/>
    <w:rsid w:val="00530106"/>
    <w:rsid w:val="005A4DBC"/>
    <w:rsid w:val="005B294A"/>
    <w:rsid w:val="005C7554"/>
    <w:rsid w:val="005D1A7E"/>
    <w:rsid w:val="005E7849"/>
    <w:rsid w:val="005F15E8"/>
    <w:rsid w:val="0063334C"/>
    <w:rsid w:val="00662EB2"/>
    <w:rsid w:val="006707D1"/>
    <w:rsid w:val="0068082B"/>
    <w:rsid w:val="00686114"/>
    <w:rsid w:val="006B2467"/>
    <w:rsid w:val="006C0C24"/>
    <w:rsid w:val="006C760E"/>
    <w:rsid w:val="006D0AB8"/>
    <w:rsid w:val="006D1808"/>
    <w:rsid w:val="006F16ED"/>
    <w:rsid w:val="0070028E"/>
    <w:rsid w:val="00715ED2"/>
    <w:rsid w:val="00753A90"/>
    <w:rsid w:val="007927D2"/>
    <w:rsid w:val="007C4E55"/>
    <w:rsid w:val="00811771"/>
    <w:rsid w:val="008B2D0E"/>
    <w:rsid w:val="008D5944"/>
    <w:rsid w:val="008D6CA3"/>
    <w:rsid w:val="008F0462"/>
    <w:rsid w:val="008F231F"/>
    <w:rsid w:val="0091149B"/>
    <w:rsid w:val="00917496"/>
    <w:rsid w:val="00925EC3"/>
    <w:rsid w:val="00930B72"/>
    <w:rsid w:val="00933712"/>
    <w:rsid w:val="009A2BD7"/>
    <w:rsid w:val="009B1E56"/>
    <w:rsid w:val="009C7263"/>
    <w:rsid w:val="009F4EF2"/>
    <w:rsid w:val="00A1291D"/>
    <w:rsid w:val="00A27FE6"/>
    <w:rsid w:val="00A85D06"/>
    <w:rsid w:val="00A95AD4"/>
    <w:rsid w:val="00B377C6"/>
    <w:rsid w:val="00B46A49"/>
    <w:rsid w:val="00B5296D"/>
    <w:rsid w:val="00B65744"/>
    <w:rsid w:val="00B72EFC"/>
    <w:rsid w:val="00BA04D4"/>
    <w:rsid w:val="00BB032C"/>
    <w:rsid w:val="00BB4532"/>
    <w:rsid w:val="00BC54CA"/>
    <w:rsid w:val="00C246FE"/>
    <w:rsid w:val="00C51DF3"/>
    <w:rsid w:val="00C7552D"/>
    <w:rsid w:val="00C77897"/>
    <w:rsid w:val="00C865E2"/>
    <w:rsid w:val="00CC4651"/>
    <w:rsid w:val="00CC5B5E"/>
    <w:rsid w:val="00CD3BDE"/>
    <w:rsid w:val="00CF40E0"/>
    <w:rsid w:val="00D343E5"/>
    <w:rsid w:val="00D51F9A"/>
    <w:rsid w:val="00D85CC9"/>
    <w:rsid w:val="00DC121F"/>
    <w:rsid w:val="00DC3FA0"/>
    <w:rsid w:val="00DE1352"/>
    <w:rsid w:val="00DE5BDA"/>
    <w:rsid w:val="00E01CC9"/>
    <w:rsid w:val="00E27215"/>
    <w:rsid w:val="00EE06F1"/>
    <w:rsid w:val="00EF35E7"/>
    <w:rsid w:val="00EF5858"/>
    <w:rsid w:val="00F367C8"/>
    <w:rsid w:val="00F51E58"/>
    <w:rsid w:val="00F5457D"/>
    <w:rsid w:val="00F6338F"/>
    <w:rsid w:val="00F75728"/>
    <w:rsid w:val="00FB0EA7"/>
    <w:rsid w:val="00FC67FE"/>
    <w:rsid w:val="00FD6E86"/>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C23AA"/>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40145B8pCE8D" TargetMode="External"/><Relationship Id="rId18" Type="http://schemas.openxmlformats.org/officeDocument/2006/relationships/hyperlink" Target="consultantplus://offline/ref=4CD7D7D685B4173A275DDF43841F1BBC12DB24D0F681849601F2ED97D50DB38ABBC3F7BDA7687C420049BBpCED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0BApCE0D" TargetMode="External"/><Relationship Id="rId17" Type="http://schemas.openxmlformats.org/officeDocument/2006/relationships/hyperlink" Target="consultantplus://offline/ref=4CD7D7D685B4173A275DDF43841F1BBC12DB24D0F681849601F2ED97D50DB38ABBC3F7BDA7687C420047BBpCEFD" TargetMode="External"/><Relationship Id="rId2" Type="http://schemas.openxmlformats.org/officeDocument/2006/relationships/numbering" Target="numbering.xml"/><Relationship Id="rId16" Type="http://schemas.openxmlformats.org/officeDocument/2006/relationships/hyperlink" Target="consultantplus://offline/ref=2E7FEA20B6788C07247087BD49AA134DDFC761486F5A7B17FE43D8DAC697E652DAF8A12DF44B121F009CEA46U3oF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5" Type="http://schemas.openxmlformats.org/officeDocument/2006/relationships/hyperlink" Target="consultantplus://offline/ref=2E7FEA20B6788C07247099B05FC64C47DFCC3F4D6A5C7647A617DE8D99C7E0079AB8A77DB40DU1o6D" TargetMode="External"/><Relationship Id="rId10" Type="http://schemas.openxmlformats.org/officeDocument/2006/relationships/hyperlink" Target="consultantplus://offline/ref=4CD7D7D685B4173A275DDF43841F1BBC12DB24D0F681849601F2ED97D50DB38ABBC3F7BDA7687C440043BEpCEED" TargetMode="External"/><Relationship Id="rId19"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242BBpCEFD" TargetMode="External"/><Relationship Id="rId14" Type="http://schemas.openxmlformats.org/officeDocument/2006/relationships/hyperlink" Target="consultantplus://offline/ref=4CD7D7D685B4173A275DDF43841F1BBC12DB24D0F681849601F2ED97D50DB38ABBC3F7BDA7687C400147BCpCE0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665FD-DD71-46E5-B7A4-0A40C1D7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6332</TotalTime>
  <Pages>11</Pages>
  <Words>3920</Words>
  <Characters>22344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915</cp:revision>
  <cp:lastPrinted>2020-12-21T04:22:00Z</cp:lastPrinted>
  <dcterms:created xsi:type="dcterms:W3CDTF">2016-09-27T10:21:00Z</dcterms:created>
  <dcterms:modified xsi:type="dcterms:W3CDTF">2021-08-23T04:33:00Z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