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CF1" w:rsidRDefault="00632CF1">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w:t>
      </w:r>
      <w:r w:rsidR="00632CF1">
        <w:rPr>
          <w:bCs/>
        </w:rPr>
        <w:t>вторая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ED2BE3" w:rsidRDefault="009C41A4"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67D6C" w:rsidRPr="00ED2BE3">
        <w:rPr>
          <w:color w:val="auto"/>
          <w:sz w:val="28"/>
          <w:szCs w:val="28"/>
        </w:rPr>
        <w:t>23</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ED2BE3">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67D6C" w:rsidRPr="00ED2BE3">
        <w:rPr>
          <w:color w:val="auto"/>
          <w:sz w:val="28"/>
          <w:szCs w:val="28"/>
        </w:rPr>
        <w:t>102</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ED2BE3" w:rsidRDefault="00ED2BE3" w:rsidP="00ED2BE3">
      <w:pPr>
        <w:ind w:firstLine="700"/>
        <w:jc w:val="center"/>
        <w:rPr>
          <w:color w:val="0070C0"/>
          <w:sz w:val="28"/>
          <w:szCs w:val="28"/>
        </w:rPr>
      </w:pPr>
      <w:r w:rsidRPr="001217A1">
        <w:rPr>
          <w:color w:val="0070C0"/>
          <w:sz w:val="28"/>
          <w:szCs w:val="28"/>
        </w:rPr>
        <w:t>(в ред. решени</w:t>
      </w:r>
      <w:r w:rsidR="000A3145">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D20506">
        <w:rPr>
          <w:spacing w:val="-2"/>
          <w:sz w:val="28"/>
          <w:szCs w:val="28"/>
        </w:rPr>
        <w:t>619 813 292,85</w:t>
      </w:r>
      <w:r w:rsidR="00E82105">
        <w:rPr>
          <w:color w:val="auto"/>
          <w:sz w:val="28"/>
          <w:szCs w:val="28"/>
        </w:rPr>
        <w:t xml:space="preserve"> </w:t>
      </w:r>
      <w:r>
        <w:rPr>
          <w:spacing w:val="-2"/>
          <w:sz w:val="28"/>
          <w:szCs w:val="28"/>
        </w:rPr>
        <w:t>руб.;</w:t>
      </w:r>
    </w:p>
    <w:p w:rsidR="00E82105" w:rsidRDefault="00E82105" w:rsidP="00E82105">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Pr="001217A1">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D20506">
        <w:rPr>
          <w:spacing w:val="-2"/>
          <w:sz w:val="28"/>
          <w:szCs w:val="28"/>
        </w:rPr>
        <w:t>622 993 292,85</w:t>
      </w:r>
      <w:r w:rsidR="008B52B3">
        <w:rPr>
          <w:spacing w:val="-2"/>
          <w:sz w:val="28"/>
          <w:szCs w:val="28"/>
        </w:rPr>
        <w:t xml:space="preserve"> </w:t>
      </w:r>
      <w:r>
        <w:rPr>
          <w:spacing w:val="-2"/>
          <w:sz w:val="28"/>
          <w:szCs w:val="28"/>
        </w:rPr>
        <w:t>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Pr="001217A1">
        <w:rPr>
          <w:color w:val="0070C0"/>
          <w:sz w:val="28"/>
          <w:szCs w:val="28"/>
        </w:rPr>
        <w:t>)</w:t>
      </w:r>
    </w:p>
    <w:p w:rsidR="00E82105" w:rsidRDefault="00E82105" w:rsidP="00E82105">
      <w:pPr>
        <w:ind w:firstLine="700"/>
        <w:rPr>
          <w:color w:val="0070C0"/>
          <w:sz w:val="28"/>
          <w:szCs w:val="28"/>
        </w:rPr>
      </w:pPr>
      <w:r w:rsidRPr="00E82105">
        <w:rPr>
          <w:color w:val="auto"/>
          <w:sz w:val="28"/>
          <w:szCs w:val="28"/>
        </w:rPr>
        <w:t>3) дефицит районного бюджета в размере 3 180 000,00 руб.</w:t>
      </w:r>
      <w:r w:rsidRPr="001217A1">
        <w:rPr>
          <w:color w:val="0070C0"/>
          <w:sz w:val="28"/>
          <w:szCs w:val="28"/>
        </w:rPr>
        <w:t xml:space="preserve"> </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FB6D7D">
      <w:pPr>
        <w:ind w:firstLine="700"/>
        <w:jc w:val="both"/>
        <w:rPr>
          <w:spacing w:val="-2"/>
          <w:sz w:val="28"/>
          <w:szCs w:val="28"/>
        </w:rPr>
      </w:pPr>
      <w:r w:rsidRPr="00FB6D7D">
        <w:rPr>
          <w:color w:val="auto"/>
          <w:spacing w:val="-2"/>
          <w:sz w:val="28"/>
          <w:szCs w:val="28"/>
        </w:rPr>
        <w:t>1) общий объем доходов районного бюджета на 2024 год в сумме 470 730 906,59 руб. и на 2025 год в сумме 466 510 022,68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FB6D7D">
      <w:pPr>
        <w:ind w:firstLine="700"/>
        <w:jc w:val="both"/>
        <w:rPr>
          <w:spacing w:val="-2"/>
          <w:sz w:val="28"/>
          <w:szCs w:val="28"/>
        </w:rPr>
      </w:pPr>
      <w:r w:rsidRPr="00FB6D7D">
        <w:rPr>
          <w:color w:val="auto"/>
          <w:spacing w:val="-2"/>
          <w:sz w:val="28"/>
          <w:szCs w:val="28"/>
        </w:rPr>
        <w:t>2) общий объем расходов районного бюджета на 2024 год в сумме       470 730 906,59 руб., в том числе условно утвержденные расходы в сумме         5 554 463,09 руб., и на 2025 год в сумме 466 510 022,68 руб., в том числе условно утвержденные расходы в сумме 11 979 057,08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027A20" w:rsidRDefault="00027A20">
      <w:pPr>
        <w:ind w:firstLine="700"/>
        <w:jc w:val="both"/>
      </w:pPr>
    </w:p>
    <w:p w:rsidR="00BB4532" w:rsidRDefault="004B6DC4">
      <w:pPr>
        <w:ind w:firstLine="700"/>
        <w:jc w:val="both"/>
        <w:outlineLvl w:val="3"/>
      </w:pPr>
      <w:r>
        <w:rPr>
          <w:sz w:val="28"/>
          <w:szCs w:val="28"/>
        </w:rPr>
        <w:t>1) доходов от федеральных налогов и сборов, в том числе от налогов, предусмотренных специальными налоговыми режимами, а также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8A7D31">
        <w:rPr>
          <w:sz w:val="28"/>
          <w:szCs w:val="28"/>
        </w:rPr>
        <w:t>9 979 299,08</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BB4532" w:rsidRDefault="00084A89">
      <w:pPr>
        <w:ind w:firstLine="700"/>
        <w:jc w:val="both"/>
        <w:rPr>
          <w:sz w:val="28"/>
          <w:szCs w:val="28"/>
        </w:rPr>
      </w:pPr>
      <w:r w:rsidRPr="00084A89">
        <w:rPr>
          <w:sz w:val="28"/>
          <w:szCs w:val="28"/>
        </w:rPr>
        <w:t xml:space="preserve">2. Утвердить объем бюджетных ассигнований дорожного фонда Нижнеомского муниципального района Омской области на 2023 год в размере </w:t>
      </w:r>
      <w:r w:rsidR="00D20506">
        <w:rPr>
          <w:sz w:val="28"/>
          <w:szCs w:val="28"/>
        </w:rPr>
        <w:t>74 605 920,00</w:t>
      </w:r>
      <w:r w:rsidRPr="00084A89">
        <w:rPr>
          <w:sz w:val="28"/>
          <w:szCs w:val="28"/>
        </w:rPr>
        <w:t xml:space="preserve"> руб., на 2024 год в размере 5 453 990,00 руб., на 2025 год в размере 5 659 280,00 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Pr="001217A1">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027A20" w:rsidRDefault="004B6DC4">
      <w:pPr>
        <w:ind w:firstLine="700"/>
        <w:jc w:val="both"/>
        <w:rPr>
          <w:sz w:val="28"/>
          <w:szCs w:val="28"/>
        </w:rPr>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 xml:space="preserve">дополнительные основания для внесения </w:t>
      </w:r>
    </w:p>
    <w:p w:rsidR="00027A20" w:rsidRDefault="00027A20">
      <w:pPr>
        <w:ind w:firstLine="700"/>
        <w:jc w:val="both"/>
        <w:rPr>
          <w:sz w:val="28"/>
          <w:szCs w:val="28"/>
        </w:rPr>
      </w:pPr>
    </w:p>
    <w:p w:rsidR="00BB4532" w:rsidRDefault="004B6DC4">
      <w:pPr>
        <w:ind w:firstLine="700"/>
        <w:jc w:val="both"/>
      </w:pPr>
      <w:r>
        <w:rPr>
          <w:sz w:val="28"/>
          <w:szCs w:val="28"/>
        </w:rPr>
        <w:t>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rPr>
          <w:sz w:val="28"/>
          <w:szCs w:val="28"/>
        </w:rPr>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rPr>
          <w:sz w:val="28"/>
          <w:szCs w:val="28"/>
        </w:rPr>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027A20" w:rsidRDefault="00027A20" w:rsidP="00E1092B">
      <w:pPr>
        <w:tabs>
          <w:tab w:val="left" w:pos="4820"/>
        </w:tabs>
        <w:ind w:firstLine="700"/>
        <w:jc w:val="both"/>
      </w:pP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A15064">
        <w:rPr>
          <w:color w:val="auto"/>
          <w:sz w:val="28"/>
          <w:szCs w:val="28"/>
        </w:rPr>
        <w:t>3) дополнительного о</w:t>
      </w:r>
      <w:r w:rsidR="008F0AE2">
        <w:rPr>
          <w:color w:val="auto"/>
          <w:sz w:val="28"/>
          <w:szCs w:val="28"/>
        </w:rPr>
        <w:t>бразования детей;</w:t>
      </w:r>
    </w:p>
    <w:p w:rsidR="008F0AE2" w:rsidRDefault="008F0AE2">
      <w:pPr>
        <w:ind w:firstLine="700"/>
        <w:jc w:val="both"/>
        <w:rPr>
          <w:color w:val="auto"/>
          <w:sz w:val="28"/>
          <w:szCs w:val="28"/>
        </w:rPr>
      </w:pPr>
      <w:r w:rsidRPr="008F0AE2">
        <w:rPr>
          <w:color w:val="auto"/>
          <w:sz w:val="28"/>
          <w:szCs w:val="28"/>
        </w:rPr>
        <w:t>4) жилищно-коммунального хозяйства.</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027A20" w:rsidRPr="00A15064" w:rsidRDefault="00027A20">
      <w:pPr>
        <w:ind w:firstLine="700"/>
        <w:jc w:val="both"/>
        <w:rPr>
          <w:color w:val="auto"/>
          <w:sz w:val="28"/>
          <w:szCs w:val="28"/>
        </w:rPr>
      </w:pP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027A20">
        <w:rPr>
          <w:color w:val="auto"/>
          <w:sz w:val="28"/>
          <w:szCs w:val="28"/>
        </w:rPr>
        <w:t xml:space="preserve"> </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200 000,00 руб.</w:t>
      </w:r>
      <w:r w:rsidR="00E77556">
        <w:rPr>
          <w:sz w:val="28"/>
          <w:szCs w:val="28"/>
        </w:rPr>
        <w:t>, на 2024 год в размере 0,00 руб. и на 2025 год в размере 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027A20" w:rsidRDefault="004B6DC4" w:rsidP="009D7741">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w:t>
      </w:r>
      <w:r w:rsidR="00027A20">
        <w:rPr>
          <w:sz w:val="28"/>
          <w:szCs w:val="28"/>
        </w:rPr>
        <w:t>местного самоуправления</w:t>
      </w:r>
      <w:r>
        <w:rPr>
          <w:sz w:val="28"/>
          <w:szCs w:val="28"/>
        </w:rPr>
        <w:t xml:space="preserve"> Нижнеомского муниципального района Омской области,</w:t>
      </w:r>
    </w:p>
    <w:p w:rsidR="00027A20" w:rsidRDefault="004B6DC4" w:rsidP="009D7741">
      <w:pPr>
        <w:ind w:firstLine="700"/>
        <w:jc w:val="both"/>
        <w:rPr>
          <w:sz w:val="28"/>
          <w:szCs w:val="28"/>
        </w:rPr>
      </w:pPr>
      <w:r>
        <w:rPr>
          <w:sz w:val="28"/>
          <w:szCs w:val="28"/>
        </w:rPr>
        <w:lastRenderedPageBreak/>
        <w:t xml:space="preserve"> </w:t>
      </w:r>
    </w:p>
    <w:p w:rsidR="00BB4532" w:rsidRDefault="004B6DC4" w:rsidP="00027A20">
      <w:pPr>
        <w:jc w:val="both"/>
        <w:rPr>
          <w:sz w:val="28"/>
          <w:szCs w:val="28"/>
        </w:rPr>
      </w:pP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143B32" w:rsidRDefault="00143B32">
      <w:pPr>
        <w:ind w:firstLine="700"/>
        <w:jc w:val="both"/>
        <w:rPr>
          <w:sz w:val="28"/>
          <w:szCs w:val="28"/>
        </w:rPr>
      </w:pPr>
    </w:p>
    <w:p w:rsidR="00143B32" w:rsidRDefault="00143B32" w:rsidP="00143B32">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143B32" w:rsidRPr="009810B5" w:rsidRDefault="00143B32" w:rsidP="00143B32">
      <w:pPr>
        <w:ind w:firstLine="700"/>
        <w:jc w:val="both"/>
        <w:rPr>
          <w:sz w:val="28"/>
          <w:szCs w:val="28"/>
        </w:rPr>
      </w:pPr>
    </w:p>
    <w:p w:rsidR="00143B32" w:rsidRPr="00143B32" w:rsidRDefault="00143B32" w:rsidP="00143B32">
      <w:pPr>
        <w:autoSpaceDE w:val="0"/>
        <w:autoSpaceDN w:val="0"/>
        <w:adjustRightInd w:val="0"/>
        <w:ind w:firstLine="700"/>
        <w:jc w:val="both"/>
        <w:rPr>
          <w:color w:val="auto"/>
          <w:sz w:val="28"/>
          <w:szCs w:val="28"/>
        </w:rPr>
      </w:pPr>
      <w:r w:rsidRPr="00143B32">
        <w:rPr>
          <w:color w:val="auto"/>
          <w:sz w:val="28"/>
          <w:szCs w:val="28"/>
        </w:rPr>
        <w:t>1. Утвердить Адресную инвестиционную программу Нижнеомского муниципального района Омской области на 2023 год и на плановый период 2024 и 2025 годов согласно приложению № 10 к настоящему решению.</w:t>
      </w:r>
    </w:p>
    <w:p w:rsidR="00143B32" w:rsidRDefault="00143B32" w:rsidP="00143B32">
      <w:pPr>
        <w:ind w:firstLine="700"/>
        <w:jc w:val="both"/>
        <w:rPr>
          <w:sz w:val="28"/>
          <w:szCs w:val="28"/>
        </w:rPr>
      </w:pPr>
      <w:r w:rsidRPr="00143B32">
        <w:rPr>
          <w:color w:val="auto"/>
          <w:sz w:val="28"/>
          <w:szCs w:val="28"/>
        </w:rPr>
        <w:t>2. Финансирование расходов по Адресной инвестиционной программе Нижнеомского муниципального района Омской области на 2023 год и на плановый период 2024 и 2025 годов осуществляется в соответствии с законодательством.</w:t>
      </w:r>
    </w:p>
    <w:p w:rsidR="00143B32" w:rsidRDefault="00143B32" w:rsidP="00143B32">
      <w:pPr>
        <w:ind w:firstLine="700"/>
        <w:jc w:val="both"/>
      </w:pPr>
      <w:r>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24.03.2023 г. № 8</w:t>
      </w:r>
      <w:r w:rsidRPr="00227DA9">
        <w:rPr>
          <w:color w:val="0070C0"/>
          <w:sz w:val="28"/>
          <w:szCs w:val="28"/>
        </w:rPr>
        <w:t>)</w:t>
      </w:r>
    </w:p>
    <w:p w:rsidR="00143B32" w:rsidRDefault="00143B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850A7A">
      <w:pPr>
        <w:ind w:firstLine="700"/>
        <w:jc w:val="both"/>
        <w:rPr>
          <w:sz w:val="28"/>
          <w:szCs w:val="28"/>
        </w:rPr>
      </w:pPr>
      <w:r w:rsidRPr="00850A7A">
        <w:rPr>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2601D8">
        <w:rPr>
          <w:sz w:val="28"/>
          <w:szCs w:val="28"/>
        </w:rPr>
        <w:t>495 418 378,35</w:t>
      </w:r>
      <w:r w:rsidRPr="00850A7A">
        <w:rPr>
          <w:sz w:val="28"/>
          <w:szCs w:val="28"/>
        </w:rPr>
        <w:t xml:space="preserve"> руб., в 2024 году в сумме 340 816 502,09 руб. и в 2025 году в сумме 330 685 998,18 руб.;</w:t>
      </w:r>
    </w:p>
    <w:p w:rsidR="00850A7A" w:rsidRDefault="00850A7A" w:rsidP="00850A7A">
      <w:pPr>
        <w:ind w:firstLine="700"/>
        <w:rPr>
          <w:color w:val="0070C0"/>
          <w:sz w:val="28"/>
          <w:szCs w:val="28"/>
        </w:rPr>
      </w:pPr>
      <w:r w:rsidRPr="001217A1">
        <w:rPr>
          <w:color w:val="0070C0"/>
          <w:sz w:val="28"/>
          <w:szCs w:val="28"/>
        </w:rPr>
        <w:t>(в ред. решени</w:t>
      </w:r>
      <w:r w:rsidR="002601D8">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2601D8">
        <w:rPr>
          <w:color w:val="0070C0"/>
          <w:sz w:val="28"/>
          <w:szCs w:val="28"/>
        </w:rPr>
        <w:t>; от 30.05.2023 г. № 36</w:t>
      </w:r>
      <w:r w:rsidRPr="001217A1">
        <w:rPr>
          <w:color w:val="0070C0"/>
          <w:sz w:val="28"/>
          <w:szCs w:val="28"/>
        </w:rPr>
        <w:t>)</w:t>
      </w:r>
    </w:p>
    <w:p w:rsidR="00850A7A" w:rsidRDefault="00850A7A">
      <w:pPr>
        <w:ind w:firstLine="700"/>
        <w:jc w:val="both"/>
        <w:rPr>
          <w:sz w:val="28"/>
          <w:szCs w:val="28"/>
        </w:rPr>
      </w:pP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896A37">
        <w:rPr>
          <w:sz w:val="28"/>
          <w:szCs w:val="28"/>
        </w:rPr>
        <w:t xml:space="preserve">36 679 093,80 </w:t>
      </w:r>
      <w:r>
        <w:rPr>
          <w:sz w:val="28"/>
          <w:szCs w:val="28"/>
        </w:rPr>
        <w:t>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850A7A" w:rsidRDefault="00850A7A" w:rsidP="00850A7A">
      <w:pPr>
        <w:ind w:firstLine="700"/>
        <w:rPr>
          <w:color w:val="0070C0"/>
          <w:sz w:val="28"/>
          <w:szCs w:val="28"/>
        </w:rPr>
      </w:pPr>
      <w:r w:rsidRPr="001217A1">
        <w:rPr>
          <w:color w:val="0070C0"/>
          <w:sz w:val="28"/>
          <w:szCs w:val="28"/>
        </w:rPr>
        <w:t>(в ред. решени</w:t>
      </w:r>
      <w:r w:rsidR="00FB2004">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r w:rsidRPr="001217A1">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E45658" w:rsidRPr="00E45658" w:rsidRDefault="00E45658" w:rsidP="00E45658">
      <w:pPr>
        <w:ind w:firstLine="700"/>
        <w:jc w:val="both"/>
        <w:rPr>
          <w:color w:val="auto"/>
          <w:sz w:val="28"/>
          <w:szCs w:val="28"/>
        </w:rPr>
      </w:pPr>
      <w:r w:rsidRPr="00E45658">
        <w:rPr>
          <w:color w:val="auto"/>
          <w:sz w:val="28"/>
          <w:szCs w:val="28"/>
        </w:rPr>
        <w:t xml:space="preserve">3. Утвердить объем иных межбюджетных трансфертов бюджетам поселений на 2023 год в сумме </w:t>
      </w:r>
      <w:r w:rsidR="00FB2004">
        <w:rPr>
          <w:color w:val="auto"/>
          <w:sz w:val="28"/>
          <w:szCs w:val="28"/>
        </w:rPr>
        <w:t xml:space="preserve">12 483 880,80 </w:t>
      </w:r>
      <w:r w:rsidRPr="00E45658">
        <w:rPr>
          <w:color w:val="auto"/>
          <w:sz w:val="28"/>
          <w:szCs w:val="28"/>
        </w:rPr>
        <w:t>руб., на 2024 год в сумме 0,00 руб. и на 2025 год в сумме 0,00 руб.</w:t>
      </w:r>
    </w:p>
    <w:p w:rsidR="00E45658" w:rsidRPr="00E45658" w:rsidRDefault="00E45658" w:rsidP="00E45658">
      <w:pPr>
        <w:keepNext/>
        <w:autoSpaceDE w:val="0"/>
        <w:autoSpaceDN w:val="0"/>
        <w:adjustRightInd w:val="0"/>
        <w:ind w:firstLine="697"/>
        <w:jc w:val="both"/>
        <w:rPr>
          <w:color w:val="auto"/>
          <w:spacing w:val="-4"/>
          <w:sz w:val="28"/>
          <w:szCs w:val="28"/>
        </w:rPr>
      </w:pPr>
      <w:r w:rsidRPr="00E45658">
        <w:rPr>
          <w:color w:val="auto"/>
          <w:spacing w:val="-4"/>
          <w:sz w:val="28"/>
          <w:szCs w:val="28"/>
        </w:rPr>
        <w:t>Установить, что иные межбюджетные трансферты предоставляются на:</w:t>
      </w:r>
    </w:p>
    <w:p w:rsidR="00E45658" w:rsidRPr="00E45658" w:rsidRDefault="00E45658" w:rsidP="00E45658">
      <w:pPr>
        <w:widowControl w:val="0"/>
        <w:autoSpaceDE w:val="0"/>
        <w:autoSpaceDN w:val="0"/>
        <w:adjustRightInd w:val="0"/>
        <w:ind w:firstLine="540"/>
        <w:jc w:val="both"/>
        <w:rPr>
          <w:color w:val="auto"/>
          <w:sz w:val="28"/>
          <w:szCs w:val="28"/>
        </w:rPr>
      </w:pPr>
      <w:r w:rsidRPr="00E4565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E45658" w:rsidRPr="00E45658" w:rsidRDefault="00E45658" w:rsidP="00E45658">
      <w:pPr>
        <w:jc w:val="both"/>
        <w:rPr>
          <w:color w:val="auto"/>
          <w:sz w:val="28"/>
          <w:szCs w:val="28"/>
          <w:lang w:eastAsia="en-US"/>
        </w:rPr>
      </w:pPr>
      <w:r w:rsidRPr="00E4565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E45658" w:rsidRPr="00E45658" w:rsidRDefault="00E45658" w:rsidP="00E45658">
      <w:pPr>
        <w:widowControl w:val="0"/>
        <w:autoSpaceDE w:val="0"/>
        <w:autoSpaceDN w:val="0"/>
        <w:adjustRightInd w:val="0"/>
        <w:ind w:right="141" w:firstLine="567"/>
        <w:jc w:val="both"/>
        <w:rPr>
          <w:color w:val="auto"/>
          <w:sz w:val="28"/>
          <w:szCs w:val="28"/>
        </w:rPr>
      </w:pPr>
      <w:r w:rsidRPr="00E45658">
        <w:rPr>
          <w:color w:val="auto"/>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E45658" w:rsidRPr="00E45658" w:rsidRDefault="00E45658" w:rsidP="00E45658">
      <w:pPr>
        <w:widowControl w:val="0"/>
        <w:autoSpaceDE w:val="0"/>
        <w:autoSpaceDN w:val="0"/>
        <w:adjustRightInd w:val="0"/>
        <w:ind w:right="141" w:firstLine="567"/>
        <w:jc w:val="both"/>
        <w:rPr>
          <w:color w:val="auto"/>
          <w:sz w:val="28"/>
          <w:szCs w:val="28"/>
        </w:rPr>
      </w:pPr>
      <w:r w:rsidRPr="00E4565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E45658" w:rsidRPr="00E45658" w:rsidRDefault="00E45658" w:rsidP="00E45658">
      <w:pPr>
        <w:keepNext/>
        <w:autoSpaceDE w:val="0"/>
        <w:autoSpaceDN w:val="0"/>
        <w:adjustRightInd w:val="0"/>
        <w:ind w:firstLine="697"/>
        <w:jc w:val="both"/>
        <w:rPr>
          <w:color w:val="auto"/>
          <w:sz w:val="28"/>
          <w:szCs w:val="28"/>
        </w:rPr>
      </w:pPr>
      <w:r w:rsidRPr="00E4565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E45658">
        <w:rPr>
          <w:color w:val="auto"/>
          <w:sz w:val="28"/>
          <w:szCs w:val="28"/>
        </w:rPr>
        <w:t>по производству молока.</w:t>
      </w:r>
    </w:p>
    <w:p w:rsidR="00E45658" w:rsidRPr="00E45658" w:rsidRDefault="00E45658" w:rsidP="00E45658">
      <w:pPr>
        <w:autoSpaceDE w:val="0"/>
        <w:autoSpaceDN w:val="0"/>
        <w:adjustRightInd w:val="0"/>
        <w:ind w:firstLine="700"/>
        <w:jc w:val="both"/>
        <w:rPr>
          <w:color w:val="auto"/>
          <w:sz w:val="28"/>
          <w:szCs w:val="28"/>
        </w:rPr>
      </w:pPr>
      <w:r w:rsidRPr="00E45658">
        <w:rPr>
          <w:color w:val="auto"/>
          <w:sz w:val="28"/>
          <w:szCs w:val="28"/>
        </w:rPr>
        <w:t>Утвердить случаи и порядок предоставления иных межбюджетных трансфертов бюджетам поселений на 2023 год и на плановый период 2024 и 2025 годов согласно приложению №7 к настоящему решению.</w:t>
      </w:r>
    </w:p>
    <w:p w:rsidR="00E45658" w:rsidRDefault="00E45658" w:rsidP="00E45658">
      <w:pPr>
        <w:ind w:firstLine="700"/>
        <w:jc w:val="both"/>
        <w:rPr>
          <w:color w:val="0070C0"/>
          <w:sz w:val="28"/>
          <w:szCs w:val="28"/>
        </w:rPr>
      </w:pPr>
      <w:r w:rsidRPr="00E45658">
        <w:rPr>
          <w:color w:val="auto"/>
          <w:sz w:val="28"/>
          <w:szCs w:val="28"/>
        </w:rPr>
        <w:t xml:space="preserve">Утвердить распределение иных межбюджетных трансфертов бюджетам поселений на 2023 год и на плановый период 2024 и 2025 годов согласно </w:t>
      </w:r>
      <w:r>
        <w:rPr>
          <w:color w:val="auto"/>
          <w:sz w:val="28"/>
          <w:szCs w:val="28"/>
        </w:rPr>
        <w:t>п</w:t>
      </w:r>
      <w:r w:rsidRPr="00E45658">
        <w:rPr>
          <w:color w:val="auto"/>
          <w:sz w:val="28"/>
          <w:szCs w:val="28"/>
        </w:rPr>
        <w:t>риложению №8 к настоящему решению.</w:t>
      </w:r>
      <w:r w:rsidRPr="001217A1">
        <w:rPr>
          <w:color w:val="0070C0"/>
          <w:sz w:val="28"/>
          <w:szCs w:val="28"/>
        </w:rPr>
        <w:t xml:space="preserve"> </w:t>
      </w:r>
    </w:p>
    <w:p w:rsidR="00362570" w:rsidRDefault="00362570" w:rsidP="00E45658">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bookmarkStart w:id="0" w:name="_GoBack"/>
      <w:bookmarkEnd w:id="0"/>
      <w:r w:rsidRPr="001217A1">
        <w:rPr>
          <w:color w:val="0070C0"/>
          <w:sz w:val="28"/>
          <w:szCs w:val="28"/>
        </w:rPr>
        <w:t>)</w:t>
      </w:r>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E45658" w:rsidRDefault="00E45658" w:rsidP="004147FB">
      <w:pPr>
        <w:ind w:firstLine="700"/>
        <w:jc w:val="both"/>
        <w:rPr>
          <w:sz w:val="28"/>
          <w:szCs w:val="28"/>
        </w:rPr>
      </w:pPr>
    </w:p>
    <w:p w:rsidR="00E45658" w:rsidRDefault="00E45658" w:rsidP="004147FB">
      <w:pPr>
        <w:ind w:firstLine="700"/>
        <w:jc w:val="both"/>
        <w:rPr>
          <w:sz w:val="28"/>
          <w:szCs w:val="28"/>
        </w:rPr>
      </w:pP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5B5B1A"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w:t>
      </w:r>
    </w:p>
    <w:p w:rsidR="005B5B1A" w:rsidRDefault="005B5B1A" w:rsidP="00A832E9">
      <w:pPr>
        <w:autoSpaceDE w:val="0"/>
        <w:autoSpaceDN w:val="0"/>
        <w:adjustRightInd w:val="0"/>
        <w:ind w:firstLine="700"/>
        <w:jc w:val="both"/>
        <w:rPr>
          <w:color w:val="auto"/>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BB4532" w:rsidRPr="00205B07" w:rsidRDefault="004B6DC4" w:rsidP="008B266C">
      <w:pPr>
        <w:ind w:firstLine="700"/>
        <w:jc w:val="both"/>
        <w:outlineLvl w:val="1"/>
        <w:rPr>
          <w:rStyle w:val="FontStyle12"/>
          <w:color w:val="FF0000"/>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Default="00134548" w:rsidP="00F603F3">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D82D1B">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D82D1B" w:rsidRPr="00134548" w:rsidRDefault="00D82D1B" w:rsidP="00F603F3">
      <w:pPr>
        <w:autoSpaceDE w:val="0"/>
        <w:autoSpaceDN w:val="0"/>
        <w:adjustRightInd w:val="0"/>
        <w:ind w:firstLine="700"/>
        <w:jc w:val="both"/>
        <w:rPr>
          <w:color w:val="auto"/>
          <w:sz w:val="28"/>
          <w:szCs w:val="28"/>
        </w:rPr>
      </w:pP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1A4" w:rsidRDefault="009C41A4">
      <w:r>
        <w:separator/>
      </w:r>
    </w:p>
  </w:endnote>
  <w:endnote w:type="continuationSeparator" w:id="0">
    <w:p w:rsidR="009C41A4" w:rsidRDefault="009C4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1A4" w:rsidRDefault="009C41A4">
      <w:r>
        <w:separator/>
      </w:r>
    </w:p>
  </w:footnote>
  <w:footnote w:type="continuationSeparator" w:id="0">
    <w:p w:rsidR="009C41A4" w:rsidRDefault="009C4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B2004">
                            <w:rPr>
                              <w:rStyle w:val="a4"/>
                              <w:noProof/>
                              <w:sz w:val="28"/>
                              <w:szCs w:val="28"/>
                            </w:rPr>
                            <w:t>8</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B2004">
                      <w:rPr>
                        <w:rStyle w:val="a4"/>
                        <w:noProof/>
                        <w:sz w:val="28"/>
                        <w:szCs w:val="28"/>
                      </w:rPr>
                      <w:t>8</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27A20"/>
    <w:rsid w:val="00027DB0"/>
    <w:rsid w:val="000305E4"/>
    <w:rsid w:val="00041578"/>
    <w:rsid w:val="00041C94"/>
    <w:rsid w:val="000437B8"/>
    <w:rsid w:val="000469FA"/>
    <w:rsid w:val="00075438"/>
    <w:rsid w:val="0007703C"/>
    <w:rsid w:val="0007723D"/>
    <w:rsid w:val="00080839"/>
    <w:rsid w:val="00080A40"/>
    <w:rsid w:val="0008304E"/>
    <w:rsid w:val="00084A89"/>
    <w:rsid w:val="00095499"/>
    <w:rsid w:val="00097826"/>
    <w:rsid w:val="000A2EF8"/>
    <w:rsid w:val="000A3145"/>
    <w:rsid w:val="000B54C3"/>
    <w:rsid w:val="000D7D9F"/>
    <w:rsid w:val="000F5DDF"/>
    <w:rsid w:val="000F7770"/>
    <w:rsid w:val="001138DC"/>
    <w:rsid w:val="001250DA"/>
    <w:rsid w:val="00134548"/>
    <w:rsid w:val="00143B32"/>
    <w:rsid w:val="0016629E"/>
    <w:rsid w:val="00180C50"/>
    <w:rsid w:val="0018107A"/>
    <w:rsid w:val="001862B5"/>
    <w:rsid w:val="00190766"/>
    <w:rsid w:val="00191163"/>
    <w:rsid w:val="00192326"/>
    <w:rsid w:val="00192567"/>
    <w:rsid w:val="001941A1"/>
    <w:rsid w:val="001A1F1E"/>
    <w:rsid w:val="001D29B4"/>
    <w:rsid w:val="001E0DAB"/>
    <w:rsid w:val="001E4082"/>
    <w:rsid w:val="001F17B1"/>
    <w:rsid w:val="00203B93"/>
    <w:rsid w:val="00205B07"/>
    <w:rsid w:val="002172AD"/>
    <w:rsid w:val="00220E26"/>
    <w:rsid w:val="0023521A"/>
    <w:rsid w:val="002449AA"/>
    <w:rsid w:val="0025157B"/>
    <w:rsid w:val="00255F5F"/>
    <w:rsid w:val="002601D8"/>
    <w:rsid w:val="00261A80"/>
    <w:rsid w:val="00290672"/>
    <w:rsid w:val="00290F45"/>
    <w:rsid w:val="002973B3"/>
    <w:rsid w:val="00297D49"/>
    <w:rsid w:val="002C3F71"/>
    <w:rsid w:val="002C4EED"/>
    <w:rsid w:val="003207FE"/>
    <w:rsid w:val="0032425C"/>
    <w:rsid w:val="003267BF"/>
    <w:rsid w:val="00332D53"/>
    <w:rsid w:val="00340630"/>
    <w:rsid w:val="00346AE3"/>
    <w:rsid w:val="00354082"/>
    <w:rsid w:val="003557AD"/>
    <w:rsid w:val="00362570"/>
    <w:rsid w:val="00371548"/>
    <w:rsid w:val="0037291C"/>
    <w:rsid w:val="00375043"/>
    <w:rsid w:val="0039325C"/>
    <w:rsid w:val="003A018B"/>
    <w:rsid w:val="003A0510"/>
    <w:rsid w:val="003B556C"/>
    <w:rsid w:val="003C08F5"/>
    <w:rsid w:val="003C4FF8"/>
    <w:rsid w:val="003D09E4"/>
    <w:rsid w:val="003E3E36"/>
    <w:rsid w:val="003F0068"/>
    <w:rsid w:val="00401560"/>
    <w:rsid w:val="004147FB"/>
    <w:rsid w:val="00417FBE"/>
    <w:rsid w:val="00422137"/>
    <w:rsid w:val="00441078"/>
    <w:rsid w:val="00445D48"/>
    <w:rsid w:val="00454AD6"/>
    <w:rsid w:val="00457E28"/>
    <w:rsid w:val="00464D2B"/>
    <w:rsid w:val="00470244"/>
    <w:rsid w:val="00472130"/>
    <w:rsid w:val="00477230"/>
    <w:rsid w:val="0049714B"/>
    <w:rsid w:val="004B6DC4"/>
    <w:rsid w:val="004C5414"/>
    <w:rsid w:val="004F59D9"/>
    <w:rsid w:val="00500B59"/>
    <w:rsid w:val="005268F8"/>
    <w:rsid w:val="00530106"/>
    <w:rsid w:val="00583CEC"/>
    <w:rsid w:val="00584312"/>
    <w:rsid w:val="005B294A"/>
    <w:rsid w:val="005B5B1A"/>
    <w:rsid w:val="005D0777"/>
    <w:rsid w:val="005D0A42"/>
    <w:rsid w:val="005D1A7E"/>
    <w:rsid w:val="005E4687"/>
    <w:rsid w:val="006058C7"/>
    <w:rsid w:val="006064C4"/>
    <w:rsid w:val="00607539"/>
    <w:rsid w:val="00616FBD"/>
    <w:rsid w:val="00624F79"/>
    <w:rsid w:val="006263AF"/>
    <w:rsid w:val="00632CF1"/>
    <w:rsid w:val="0063334C"/>
    <w:rsid w:val="00634D78"/>
    <w:rsid w:val="00635245"/>
    <w:rsid w:val="00642E89"/>
    <w:rsid w:val="00650E7E"/>
    <w:rsid w:val="00662EB2"/>
    <w:rsid w:val="006707D1"/>
    <w:rsid w:val="0068082B"/>
    <w:rsid w:val="006845CB"/>
    <w:rsid w:val="00686114"/>
    <w:rsid w:val="006C0C24"/>
    <w:rsid w:val="006C2EAA"/>
    <w:rsid w:val="006C35E1"/>
    <w:rsid w:val="006C6D94"/>
    <w:rsid w:val="006D1808"/>
    <w:rsid w:val="006E394A"/>
    <w:rsid w:val="006F16ED"/>
    <w:rsid w:val="006F39CE"/>
    <w:rsid w:val="0070028E"/>
    <w:rsid w:val="00715ED2"/>
    <w:rsid w:val="00753A90"/>
    <w:rsid w:val="00762133"/>
    <w:rsid w:val="00765875"/>
    <w:rsid w:val="00767D6C"/>
    <w:rsid w:val="007927D2"/>
    <w:rsid w:val="007A6C1E"/>
    <w:rsid w:val="007C2406"/>
    <w:rsid w:val="007E04F8"/>
    <w:rsid w:val="007E4101"/>
    <w:rsid w:val="00803982"/>
    <w:rsid w:val="00842563"/>
    <w:rsid w:val="00844E06"/>
    <w:rsid w:val="008505DD"/>
    <w:rsid w:val="00850A7A"/>
    <w:rsid w:val="0086110E"/>
    <w:rsid w:val="00872656"/>
    <w:rsid w:val="00875CEB"/>
    <w:rsid w:val="00886CA0"/>
    <w:rsid w:val="00896A37"/>
    <w:rsid w:val="008A4E80"/>
    <w:rsid w:val="008A7D31"/>
    <w:rsid w:val="008B266C"/>
    <w:rsid w:val="008B2B7A"/>
    <w:rsid w:val="008B52B3"/>
    <w:rsid w:val="008C2667"/>
    <w:rsid w:val="008C6356"/>
    <w:rsid w:val="008F0462"/>
    <w:rsid w:val="008F0AE2"/>
    <w:rsid w:val="008F231F"/>
    <w:rsid w:val="00912B83"/>
    <w:rsid w:val="00914EEA"/>
    <w:rsid w:val="00917496"/>
    <w:rsid w:val="00925EC3"/>
    <w:rsid w:val="00932A73"/>
    <w:rsid w:val="009333F2"/>
    <w:rsid w:val="00933712"/>
    <w:rsid w:val="00934421"/>
    <w:rsid w:val="0094752E"/>
    <w:rsid w:val="00964D6D"/>
    <w:rsid w:val="00965F0C"/>
    <w:rsid w:val="00983F20"/>
    <w:rsid w:val="009A2BD7"/>
    <w:rsid w:val="009C41A4"/>
    <w:rsid w:val="009C7263"/>
    <w:rsid w:val="009D2DAB"/>
    <w:rsid w:val="009D7741"/>
    <w:rsid w:val="009F4EF2"/>
    <w:rsid w:val="00A04B56"/>
    <w:rsid w:val="00A1291D"/>
    <w:rsid w:val="00A15064"/>
    <w:rsid w:val="00A22690"/>
    <w:rsid w:val="00A25BA0"/>
    <w:rsid w:val="00A27FE6"/>
    <w:rsid w:val="00A634A8"/>
    <w:rsid w:val="00A832E9"/>
    <w:rsid w:val="00A85D06"/>
    <w:rsid w:val="00A875DA"/>
    <w:rsid w:val="00A95AD4"/>
    <w:rsid w:val="00AC3517"/>
    <w:rsid w:val="00AE1B1A"/>
    <w:rsid w:val="00AE7A5F"/>
    <w:rsid w:val="00AF3B5C"/>
    <w:rsid w:val="00B00DF0"/>
    <w:rsid w:val="00B218D3"/>
    <w:rsid w:val="00B377C6"/>
    <w:rsid w:val="00B46649"/>
    <w:rsid w:val="00B5296D"/>
    <w:rsid w:val="00B65744"/>
    <w:rsid w:val="00B72EFC"/>
    <w:rsid w:val="00B774B5"/>
    <w:rsid w:val="00BA1B69"/>
    <w:rsid w:val="00BB4532"/>
    <w:rsid w:val="00BB47D9"/>
    <w:rsid w:val="00BC54CA"/>
    <w:rsid w:val="00C019C0"/>
    <w:rsid w:val="00C051FA"/>
    <w:rsid w:val="00C246FE"/>
    <w:rsid w:val="00C24A39"/>
    <w:rsid w:val="00C30E67"/>
    <w:rsid w:val="00C35F9A"/>
    <w:rsid w:val="00C36564"/>
    <w:rsid w:val="00C47089"/>
    <w:rsid w:val="00C51DF3"/>
    <w:rsid w:val="00C54DA4"/>
    <w:rsid w:val="00C63F08"/>
    <w:rsid w:val="00C76A55"/>
    <w:rsid w:val="00C865E2"/>
    <w:rsid w:val="00CA2E14"/>
    <w:rsid w:val="00CC5B5E"/>
    <w:rsid w:val="00CD3BDE"/>
    <w:rsid w:val="00CF28AA"/>
    <w:rsid w:val="00CF40E0"/>
    <w:rsid w:val="00D0305B"/>
    <w:rsid w:val="00D20506"/>
    <w:rsid w:val="00D343E5"/>
    <w:rsid w:val="00D51F9A"/>
    <w:rsid w:val="00D702FF"/>
    <w:rsid w:val="00D82D1B"/>
    <w:rsid w:val="00D85CC9"/>
    <w:rsid w:val="00D875B5"/>
    <w:rsid w:val="00DA1223"/>
    <w:rsid w:val="00DC28D5"/>
    <w:rsid w:val="00DC3FA0"/>
    <w:rsid w:val="00DD70C7"/>
    <w:rsid w:val="00DE1352"/>
    <w:rsid w:val="00DE328A"/>
    <w:rsid w:val="00DE3477"/>
    <w:rsid w:val="00DE5BDA"/>
    <w:rsid w:val="00DF41ED"/>
    <w:rsid w:val="00E056FC"/>
    <w:rsid w:val="00E1092B"/>
    <w:rsid w:val="00E42DE1"/>
    <w:rsid w:val="00E45658"/>
    <w:rsid w:val="00E52906"/>
    <w:rsid w:val="00E77556"/>
    <w:rsid w:val="00E82105"/>
    <w:rsid w:val="00E93F26"/>
    <w:rsid w:val="00ED27E3"/>
    <w:rsid w:val="00ED2BE3"/>
    <w:rsid w:val="00ED580B"/>
    <w:rsid w:val="00ED5F4E"/>
    <w:rsid w:val="00EE06F1"/>
    <w:rsid w:val="00EF35E7"/>
    <w:rsid w:val="00EF5858"/>
    <w:rsid w:val="00F0080D"/>
    <w:rsid w:val="00F01209"/>
    <w:rsid w:val="00F124A0"/>
    <w:rsid w:val="00F17AAD"/>
    <w:rsid w:val="00F4151F"/>
    <w:rsid w:val="00F45F7F"/>
    <w:rsid w:val="00F51E58"/>
    <w:rsid w:val="00F603F3"/>
    <w:rsid w:val="00F6338F"/>
    <w:rsid w:val="00F7170B"/>
    <w:rsid w:val="00F75728"/>
    <w:rsid w:val="00F9585C"/>
    <w:rsid w:val="00F958A3"/>
    <w:rsid w:val="00FA3CAD"/>
    <w:rsid w:val="00FB0EA7"/>
    <w:rsid w:val="00FB2004"/>
    <w:rsid w:val="00FB3D2E"/>
    <w:rsid w:val="00FB4FBE"/>
    <w:rsid w:val="00FB6D7D"/>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7EE65"/>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2C8E-AFE8-476C-8204-F78D2AC59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6696</TotalTime>
  <Pages>10</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1027</cp:revision>
  <cp:lastPrinted>2022-10-27T06:48:00Z</cp:lastPrinted>
  <dcterms:created xsi:type="dcterms:W3CDTF">2016-09-27T10:21:00Z</dcterms:created>
  <dcterms:modified xsi:type="dcterms:W3CDTF">2023-06-05T05:18:00Z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