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92B" w:rsidRDefault="00E6692B" w:rsidP="00B54A5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ЗАКЛЮЧЕНИЕ</w:t>
      </w:r>
    </w:p>
    <w:p w:rsidR="00177D09" w:rsidRDefault="00177D09" w:rsidP="00177D0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проведению оценки эффективности  налоговых</w:t>
      </w:r>
      <w:r w:rsidR="004D1CD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расходов  по </w:t>
      </w:r>
      <w:proofErr w:type="spellStart"/>
      <w:r w:rsidR="004D1CDB">
        <w:rPr>
          <w:rFonts w:ascii="Times New Roman" w:eastAsia="Times New Roman" w:hAnsi="Times New Roman"/>
          <w:bCs/>
          <w:sz w:val="28"/>
          <w:szCs w:val="28"/>
          <w:lang w:eastAsia="ru-RU"/>
        </w:rPr>
        <w:t>Ситниковскому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сельскому поселению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Нижнеомского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муниципального района Омской области за 2023 год.</w:t>
      </w:r>
    </w:p>
    <w:p w:rsidR="00E6692B" w:rsidRDefault="00E6692B" w:rsidP="00B54A5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D1CDB" w:rsidRPr="004D1CDB" w:rsidRDefault="00E6692B" w:rsidP="004D1CD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Оценка эффективности налоговых расходов  проведена </w:t>
      </w:r>
      <w:r w:rsidR="004D1CDB">
        <w:rPr>
          <w:rFonts w:ascii="Times New Roman" w:hAnsi="Times New Roman"/>
          <w:sz w:val="28"/>
          <w:szCs w:val="28"/>
        </w:rPr>
        <w:t>в</w:t>
      </w:r>
      <w:r w:rsidR="004D1CDB" w:rsidRPr="004D1CDB">
        <w:rPr>
          <w:rFonts w:ascii="Times New Roman" w:hAnsi="Times New Roman"/>
          <w:sz w:val="28"/>
          <w:szCs w:val="28"/>
        </w:rPr>
        <w:t xml:space="preserve"> соответствии с Постановление Администрации </w:t>
      </w:r>
      <w:proofErr w:type="spellStart"/>
      <w:r w:rsidR="004D1CDB" w:rsidRPr="004D1CDB">
        <w:rPr>
          <w:rFonts w:ascii="Times New Roman" w:hAnsi="Times New Roman"/>
          <w:sz w:val="28"/>
          <w:szCs w:val="28"/>
        </w:rPr>
        <w:t>Ситниковского</w:t>
      </w:r>
      <w:proofErr w:type="spellEnd"/>
      <w:r w:rsidR="004D1CDB" w:rsidRPr="004D1CDB">
        <w:rPr>
          <w:rFonts w:ascii="Times New Roman" w:hAnsi="Times New Roman"/>
          <w:sz w:val="28"/>
          <w:szCs w:val="28"/>
        </w:rPr>
        <w:t xml:space="preserve"> сельского поселения от 29.07.2022 г. № 41-П "Об утверждении Порядка формирования перечня налоговых расходов и оценки налоговых расходов </w:t>
      </w:r>
      <w:proofErr w:type="spellStart"/>
      <w:r w:rsidR="004D1CDB" w:rsidRPr="004D1CDB">
        <w:rPr>
          <w:rFonts w:ascii="Times New Roman" w:hAnsi="Times New Roman"/>
          <w:sz w:val="28"/>
          <w:szCs w:val="28"/>
        </w:rPr>
        <w:t>Ситниковского</w:t>
      </w:r>
      <w:proofErr w:type="spellEnd"/>
      <w:r w:rsidR="004D1CDB" w:rsidRPr="004D1CD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4D1CDB" w:rsidRPr="004D1CDB">
        <w:rPr>
          <w:rFonts w:ascii="Times New Roman" w:hAnsi="Times New Roman"/>
          <w:sz w:val="28"/>
          <w:szCs w:val="28"/>
        </w:rPr>
        <w:t>Нижнеомского</w:t>
      </w:r>
      <w:proofErr w:type="spellEnd"/>
      <w:r w:rsidR="004D1CDB" w:rsidRPr="004D1CDB">
        <w:rPr>
          <w:rFonts w:ascii="Times New Roman" w:hAnsi="Times New Roman"/>
          <w:sz w:val="28"/>
          <w:szCs w:val="28"/>
        </w:rPr>
        <w:t xml:space="preserve"> муниципального района Омской области", проведена оценка эффективности действующих налоговых льгот (налоговых расходов), установленных на местном уровне. Оценка эффективности проведена на основании информации, предоставленной терр</w:t>
      </w:r>
      <w:r w:rsidR="00872938">
        <w:rPr>
          <w:rFonts w:ascii="Times New Roman" w:hAnsi="Times New Roman"/>
          <w:sz w:val="28"/>
          <w:szCs w:val="28"/>
        </w:rPr>
        <w:t>иториальным налоговым органом (</w:t>
      </w:r>
      <w:r w:rsidR="004D1CDB" w:rsidRPr="004D1CDB">
        <w:rPr>
          <w:rFonts w:ascii="Times New Roman" w:hAnsi="Times New Roman"/>
          <w:sz w:val="28"/>
          <w:szCs w:val="28"/>
        </w:rPr>
        <w:t>Форма №5-МН «Отчет о налоговой базе и структуре начисления по местным налогам» за 2023 год).</w:t>
      </w:r>
    </w:p>
    <w:p w:rsidR="00E6692B" w:rsidRDefault="00E6692B" w:rsidP="00B54A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Для проведения оценки эффективности налог</w:t>
      </w:r>
      <w:r w:rsidR="004D1CDB">
        <w:rPr>
          <w:rFonts w:ascii="Times New Roman" w:hAnsi="Times New Roman"/>
          <w:sz w:val="28"/>
          <w:szCs w:val="28"/>
          <w:lang w:eastAsia="ru-RU"/>
        </w:rPr>
        <w:t xml:space="preserve">овых расходов </w:t>
      </w:r>
      <w:proofErr w:type="spellStart"/>
      <w:r w:rsidR="004D1CDB">
        <w:rPr>
          <w:rFonts w:ascii="Times New Roman" w:hAnsi="Times New Roman"/>
          <w:sz w:val="28"/>
          <w:szCs w:val="28"/>
          <w:lang w:eastAsia="ru-RU"/>
        </w:rPr>
        <w:t>Ситниковского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Омской области использовались данные о категориях налогоплательщиков, о суммах выпадающих доходов и о количестве налогоплательщиков, воспользовавшихся льготами, представленные </w:t>
      </w:r>
      <w:r w:rsidR="00F52A36">
        <w:rPr>
          <w:rFonts w:ascii="Times New Roman" w:hAnsi="Times New Roman"/>
          <w:sz w:val="28"/>
          <w:szCs w:val="28"/>
          <w:lang w:eastAsia="ru-RU"/>
        </w:rPr>
        <w:t>территориальной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налоговой службы по Омской области.</w:t>
      </w:r>
    </w:p>
    <w:p w:rsidR="00E6692B" w:rsidRDefault="00E6692B" w:rsidP="00B54A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На основании целевой категории</w:t>
      </w:r>
      <w:r w:rsidR="004D1CDB">
        <w:rPr>
          <w:rFonts w:ascii="Times New Roman" w:hAnsi="Times New Roman"/>
          <w:sz w:val="28"/>
          <w:szCs w:val="28"/>
          <w:lang w:eastAsia="ru-RU"/>
        </w:rPr>
        <w:t xml:space="preserve"> на территории </w:t>
      </w:r>
      <w:proofErr w:type="spellStart"/>
      <w:r w:rsidR="004D1CDB">
        <w:rPr>
          <w:rFonts w:ascii="Times New Roman" w:hAnsi="Times New Roman"/>
          <w:sz w:val="28"/>
          <w:szCs w:val="28"/>
          <w:lang w:eastAsia="ru-RU"/>
        </w:rPr>
        <w:t>Ситниковског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определен</w:t>
      </w:r>
      <w:r w:rsidR="00F52A36">
        <w:rPr>
          <w:rFonts w:ascii="Times New Roman" w:hAnsi="Times New Roman"/>
          <w:sz w:val="28"/>
          <w:szCs w:val="28"/>
          <w:lang w:eastAsia="ru-RU"/>
        </w:rPr>
        <w:t>ы</w:t>
      </w:r>
      <w:r>
        <w:rPr>
          <w:rFonts w:ascii="Times New Roman" w:hAnsi="Times New Roman"/>
          <w:sz w:val="28"/>
          <w:szCs w:val="28"/>
          <w:lang w:eastAsia="ru-RU"/>
        </w:rPr>
        <w:t xml:space="preserve"> вид</w:t>
      </w:r>
      <w:r w:rsidR="00F52A36">
        <w:rPr>
          <w:rFonts w:ascii="Times New Roman" w:hAnsi="Times New Roman"/>
          <w:sz w:val="28"/>
          <w:szCs w:val="28"/>
          <w:lang w:eastAsia="ru-RU"/>
        </w:rPr>
        <w:t>ы налоговых расходов: социальные, технические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E6692B" w:rsidRDefault="00E6692B" w:rsidP="00B54A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В ходе проведения оценки эффективности налоговых расходов осуществлялась оценка целесообразности (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востребованность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налоговых расходов, соответствие их целям и задачам соответствующих программ и (или) целям социально-экономического развития муниципального образования) и их результативность.</w:t>
      </w:r>
    </w:p>
    <w:p w:rsidR="00E6692B" w:rsidRDefault="00E6692B" w:rsidP="00B54A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Оценка эффективности налоговых расходов проводится в целях минимизации риска предоставления неэффективных налоговых расходов. Результаты оценки используются при формировании проекта местного бюджета на очередной финансовый год и на плановый период.</w:t>
      </w:r>
    </w:p>
    <w:p w:rsidR="00E6692B" w:rsidRDefault="00E6692B" w:rsidP="00B54A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Решением </w:t>
      </w:r>
      <w:r w:rsidR="004D1CDB" w:rsidRPr="004D1CDB">
        <w:rPr>
          <w:rFonts w:ascii="Times New Roman" w:hAnsi="Times New Roman"/>
          <w:sz w:val="28"/>
          <w:szCs w:val="28"/>
        </w:rPr>
        <w:t xml:space="preserve">Совета </w:t>
      </w:r>
      <w:proofErr w:type="spellStart"/>
      <w:r w:rsidR="004D1CDB" w:rsidRPr="004D1CDB">
        <w:rPr>
          <w:rFonts w:ascii="Times New Roman" w:hAnsi="Times New Roman"/>
          <w:sz w:val="28"/>
          <w:szCs w:val="28"/>
        </w:rPr>
        <w:t>Ситниковского</w:t>
      </w:r>
      <w:proofErr w:type="spellEnd"/>
      <w:r w:rsidR="004D1CDB" w:rsidRPr="004D1CD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4D1CDB" w:rsidRPr="004D1CDB">
        <w:rPr>
          <w:rFonts w:ascii="Times New Roman" w:hAnsi="Times New Roman"/>
          <w:sz w:val="28"/>
          <w:szCs w:val="28"/>
        </w:rPr>
        <w:t>Нижнеомского</w:t>
      </w:r>
      <w:proofErr w:type="spellEnd"/>
      <w:r w:rsidR="004D1CDB" w:rsidRPr="004D1CDB">
        <w:rPr>
          <w:rFonts w:ascii="Times New Roman" w:hAnsi="Times New Roman"/>
          <w:sz w:val="28"/>
          <w:szCs w:val="28"/>
        </w:rPr>
        <w:t xml:space="preserve"> муниципального района Омской области № 40 от 28.11.2021 года «Об установлении на территории </w:t>
      </w:r>
      <w:proofErr w:type="spellStart"/>
      <w:r w:rsidR="004D1CDB" w:rsidRPr="004D1CDB">
        <w:rPr>
          <w:rFonts w:ascii="Times New Roman" w:hAnsi="Times New Roman"/>
          <w:sz w:val="28"/>
          <w:szCs w:val="28"/>
        </w:rPr>
        <w:t>Ситниковского</w:t>
      </w:r>
      <w:proofErr w:type="spellEnd"/>
      <w:r w:rsidR="004D1CDB" w:rsidRPr="004D1CD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4D1CDB" w:rsidRPr="004D1CDB">
        <w:rPr>
          <w:rFonts w:ascii="Times New Roman" w:hAnsi="Times New Roman"/>
          <w:sz w:val="28"/>
          <w:szCs w:val="28"/>
        </w:rPr>
        <w:t>Нижнеомского</w:t>
      </w:r>
      <w:proofErr w:type="spellEnd"/>
      <w:r w:rsidR="004D1CDB" w:rsidRPr="004D1CDB">
        <w:rPr>
          <w:rFonts w:ascii="Times New Roman" w:hAnsi="Times New Roman"/>
          <w:sz w:val="28"/>
          <w:szCs w:val="28"/>
        </w:rPr>
        <w:t xml:space="preserve"> муниципального района Омской области земельного налога»</w:t>
      </w:r>
      <w:r w:rsidR="004D1CDB">
        <w:rPr>
          <w:rFonts w:ascii="Times New Roman" w:hAnsi="Times New Roman"/>
          <w:sz w:val="28"/>
          <w:szCs w:val="28"/>
        </w:rPr>
        <w:t xml:space="preserve"> </w:t>
      </w:r>
      <w:r w:rsidR="00F52A36">
        <w:rPr>
          <w:rFonts w:ascii="Times New Roman" w:hAnsi="Times New Roman"/>
          <w:sz w:val="28"/>
          <w:szCs w:val="28"/>
        </w:rPr>
        <w:t>установлены налоговые льготы по земельному налогу для следующих категорий налогоплательщиков</w:t>
      </w:r>
      <w:r w:rsidRPr="00EB309F">
        <w:rPr>
          <w:rFonts w:ascii="Times New Roman" w:hAnsi="Times New Roman"/>
          <w:sz w:val="28"/>
          <w:szCs w:val="28"/>
          <w:lang w:eastAsia="ru-RU"/>
        </w:rPr>
        <w:t>:</w:t>
      </w:r>
    </w:p>
    <w:p w:rsidR="00E6692B" w:rsidRPr="000B5300" w:rsidRDefault="00E6692B" w:rsidP="000B530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- </w:t>
      </w:r>
      <w:r w:rsidRPr="000B5300">
        <w:rPr>
          <w:rFonts w:ascii="Times New Roman" w:hAnsi="Times New Roman"/>
          <w:sz w:val="28"/>
          <w:szCs w:val="28"/>
        </w:rPr>
        <w:t>органы  местного самоуправления в отношении  земель сельскохозяйственного  назначения, земель населенных пунктов</w:t>
      </w:r>
      <w:r>
        <w:rPr>
          <w:rFonts w:ascii="Times New Roman" w:hAnsi="Times New Roman"/>
          <w:sz w:val="28"/>
          <w:szCs w:val="28"/>
        </w:rPr>
        <w:t>;</w:t>
      </w:r>
    </w:p>
    <w:p w:rsidR="00E6692B" w:rsidRDefault="00E6692B" w:rsidP="00B54A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- ветераны и инвалиды Великой Отечественной войны, а также ветераны боевых действий в отношении земель сельскохозяйственного назнач</w:t>
      </w:r>
      <w:r w:rsidR="001E055F">
        <w:rPr>
          <w:rFonts w:ascii="Times New Roman" w:hAnsi="Times New Roman"/>
          <w:sz w:val="28"/>
          <w:szCs w:val="28"/>
          <w:lang w:eastAsia="ru-RU"/>
        </w:rPr>
        <w:t>ения, земель населенных пунктов.</w:t>
      </w:r>
    </w:p>
    <w:p w:rsidR="00F52A36" w:rsidRDefault="00F52A36" w:rsidP="00B54A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6692B" w:rsidRDefault="00E6692B" w:rsidP="00B54A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По данным </w:t>
      </w:r>
      <w:r w:rsidR="00F52A36">
        <w:rPr>
          <w:rFonts w:ascii="Times New Roman" w:hAnsi="Times New Roman"/>
          <w:sz w:val="28"/>
          <w:szCs w:val="28"/>
          <w:lang w:eastAsia="ru-RU"/>
        </w:rPr>
        <w:t>тер</w:t>
      </w:r>
      <w:r w:rsidR="006E2898">
        <w:rPr>
          <w:rFonts w:ascii="Times New Roman" w:hAnsi="Times New Roman"/>
          <w:sz w:val="28"/>
          <w:szCs w:val="28"/>
          <w:lang w:eastAsia="ru-RU"/>
        </w:rPr>
        <w:t>р</w:t>
      </w:r>
      <w:r w:rsidR="00F52A36">
        <w:rPr>
          <w:rFonts w:ascii="Times New Roman" w:hAnsi="Times New Roman"/>
          <w:sz w:val="28"/>
          <w:szCs w:val="28"/>
          <w:lang w:eastAsia="ru-RU"/>
        </w:rPr>
        <w:t>иториальной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налоговой службы по Омской области объем налоговых расходо</w:t>
      </w:r>
      <w:r w:rsidR="00666D02">
        <w:rPr>
          <w:rFonts w:ascii="Times New Roman" w:hAnsi="Times New Roman"/>
          <w:sz w:val="28"/>
          <w:szCs w:val="28"/>
          <w:lang w:eastAsia="ru-RU"/>
        </w:rPr>
        <w:t>в в 2023 году составил         5 тыс.</w:t>
      </w:r>
      <w:r>
        <w:rPr>
          <w:rFonts w:ascii="Times New Roman" w:hAnsi="Times New Roman"/>
          <w:sz w:val="28"/>
          <w:szCs w:val="28"/>
          <w:lang w:eastAsia="ru-RU"/>
        </w:rPr>
        <w:t xml:space="preserve"> рублей                 </w:t>
      </w:r>
      <w:r w:rsidR="00666D02">
        <w:rPr>
          <w:rFonts w:ascii="Times New Roman" w:hAnsi="Times New Roman"/>
          <w:sz w:val="28"/>
          <w:szCs w:val="28"/>
          <w:lang w:eastAsia="ru-RU"/>
        </w:rPr>
        <w:t>и по сравнению с 2022 годом увеличился на 1 тыс</w:t>
      </w:r>
      <w:proofErr w:type="gramStart"/>
      <w:r w:rsidR="00666D02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="00666D02">
        <w:rPr>
          <w:rFonts w:ascii="Times New Roman" w:hAnsi="Times New Roman"/>
          <w:sz w:val="28"/>
          <w:szCs w:val="28"/>
          <w:lang w:eastAsia="ru-RU"/>
        </w:rPr>
        <w:t>ублей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E6692B" w:rsidRDefault="00E6692B" w:rsidP="00B54A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Информация о структуре налоговых расходов за период 2022-2023 годов представлена в таблице 1.</w:t>
      </w:r>
    </w:p>
    <w:p w:rsidR="00E6692B" w:rsidRDefault="00E6692B" w:rsidP="00B54A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6692B" w:rsidRDefault="00E6692B" w:rsidP="00E0404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Таблица 1</w:t>
      </w:r>
    </w:p>
    <w:p w:rsidR="00E6692B" w:rsidRDefault="00E6692B" w:rsidP="00E0404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6692B" w:rsidRDefault="00E6692B" w:rsidP="00E0404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Структура налоговых расходов за период 2022-2023 гг.</w:t>
      </w:r>
    </w:p>
    <w:p w:rsidR="00E6692B" w:rsidRDefault="00E6692B" w:rsidP="00E0404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85"/>
        <w:gridCol w:w="1276"/>
        <w:gridCol w:w="2126"/>
        <w:gridCol w:w="1182"/>
        <w:gridCol w:w="1902"/>
      </w:tblGrid>
      <w:tr w:rsidR="00E6692B" w:rsidTr="00D50ED1">
        <w:trPr>
          <w:trHeight w:val="323"/>
        </w:trPr>
        <w:tc>
          <w:tcPr>
            <w:tcW w:w="3085" w:type="dxa"/>
            <w:vMerge w:val="restart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0ED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402" w:type="dxa"/>
            <w:gridSpan w:val="2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0ED1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084" w:type="dxa"/>
            <w:gridSpan w:val="2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0ED1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E6692B" w:rsidTr="00D50ED1">
        <w:trPr>
          <w:trHeight w:val="322"/>
        </w:trPr>
        <w:tc>
          <w:tcPr>
            <w:tcW w:w="3085" w:type="dxa"/>
            <w:vMerge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50ED1">
              <w:rPr>
                <w:rFonts w:ascii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D50ED1">
              <w:rPr>
                <w:rFonts w:ascii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D50ED1">
              <w:rPr>
                <w:rFonts w:ascii="Times New Roman" w:hAnsi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2126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0ED1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</w:t>
            </w:r>
            <w:proofErr w:type="gramStart"/>
            <w:r w:rsidRPr="00D50E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82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50ED1">
              <w:rPr>
                <w:rFonts w:ascii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D50ED1">
              <w:rPr>
                <w:rFonts w:ascii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D50ED1">
              <w:rPr>
                <w:rFonts w:ascii="Times New Roman" w:hAnsi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902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0ED1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</w:t>
            </w:r>
            <w:proofErr w:type="gramStart"/>
            <w:r w:rsidRPr="00D50E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</w:tr>
      <w:tr w:rsidR="00785EC5" w:rsidTr="00D50ED1">
        <w:tc>
          <w:tcPr>
            <w:tcW w:w="3085" w:type="dxa"/>
          </w:tcPr>
          <w:p w:rsidR="00785EC5" w:rsidRPr="00D50ED1" w:rsidRDefault="00785EC5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0ED1">
              <w:rPr>
                <w:rFonts w:ascii="Times New Roman" w:hAnsi="Times New Roman"/>
                <w:sz w:val="24"/>
                <w:szCs w:val="24"/>
                <w:lang w:eastAsia="ru-RU"/>
              </w:rPr>
              <w:t>Всего налоговые расходы</w:t>
            </w:r>
          </w:p>
        </w:tc>
        <w:tc>
          <w:tcPr>
            <w:tcW w:w="1276" w:type="dxa"/>
          </w:tcPr>
          <w:p w:rsidR="00785EC5" w:rsidRPr="00D50ED1" w:rsidRDefault="00666D02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785EC5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26" w:type="dxa"/>
          </w:tcPr>
          <w:p w:rsidR="00785EC5" w:rsidRDefault="00666D02" w:rsidP="00785EC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785EC5" w:rsidRPr="00247C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</w:tcPr>
          <w:p w:rsidR="00785EC5" w:rsidRPr="00D50ED1" w:rsidRDefault="00666D02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785EC5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02" w:type="dxa"/>
          </w:tcPr>
          <w:p w:rsidR="00785EC5" w:rsidRDefault="00666D02" w:rsidP="00785EC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785EC5" w:rsidRPr="00A01C0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85EC5" w:rsidTr="00D50ED1">
        <w:tc>
          <w:tcPr>
            <w:tcW w:w="3085" w:type="dxa"/>
          </w:tcPr>
          <w:p w:rsidR="00785EC5" w:rsidRPr="00D50ED1" w:rsidRDefault="00785EC5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0ED1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Социальные налоговые (обеспечение социальной защиты (поддержки) населения) в том числе:</w:t>
            </w:r>
          </w:p>
        </w:tc>
        <w:tc>
          <w:tcPr>
            <w:tcW w:w="1276" w:type="dxa"/>
          </w:tcPr>
          <w:p w:rsidR="00785EC5" w:rsidRPr="00D50ED1" w:rsidRDefault="00666D02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785EC5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26" w:type="dxa"/>
          </w:tcPr>
          <w:p w:rsidR="00785EC5" w:rsidRDefault="00666D02" w:rsidP="00785EC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785EC5" w:rsidRPr="00247C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</w:tcPr>
          <w:p w:rsidR="00785EC5" w:rsidRPr="00D50ED1" w:rsidRDefault="00666D02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785EC5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02" w:type="dxa"/>
          </w:tcPr>
          <w:p w:rsidR="00785EC5" w:rsidRDefault="00666D02" w:rsidP="00785EC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785EC5" w:rsidRPr="00A01C0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85EC5" w:rsidTr="00D50ED1">
        <w:tc>
          <w:tcPr>
            <w:tcW w:w="3085" w:type="dxa"/>
          </w:tcPr>
          <w:p w:rsidR="00785EC5" w:rsidRPr="00D50ED1" w:rsidRDefault="00785EC5" w:rsidP="00D50E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50ED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276" w:type="dxa"/>
          </w:tcPr>
          <w:p w:rsidR="00785EC5" w:rsidRPr="00D50ED1" w:rsidRDefault="00666D02" w:rsidP="00D50E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4</w:t>
            </w:r>
            <w:r w:rsidR="00785EC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26" w:type="dxa"/>
          </w:tcPr>
          <w:p w:rsidR="00785EC5" w:rsidRDefault="00666D02" w:rsidP="00785EC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785EC5" w:rsidRPr="00247C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</w:tcPr>
          <w:p w:rsidR="00785EC5" w:rsidRPr="00D50ED1" w:rsidRDefault="00666D02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785EC5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02" w:type="dxa"/>
          </w:tcPr>
          <w:p w:rsidR="00785EC5" w:rsidRDefault="00666D02" w:rsidP="00785EC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785EC5" w:rsidRPr="00A01C0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85EC5" w:rsidTr="00D50ED1">
        <w:tc>
          <w:tcPr>
            <w:tcW w:w="3085" w:type="dxa"/>
          </w:tcPr>
          <w:p w:rsidR="00785EC5" w:rsidRPr="006E2898" w:rsidRDefault="00785EC5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</w:t>
            </w:r>
            <w:r w:rsidRPr="00D50E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налоговые (обеспечение социальной защиты (поддержки) населения) в том числе:</w:t>
            </w:r>
          </w:p>
        </w:tc>
        <w:tc>
          <w:tcPr>
            <w:tcW w:w="1276" w:type="dxa"/>
          </w:tcPr>
          <w:p w:rsidR="00785EC5" w:rsidRPr="006E2898" w:rsidRDefault="00785EC5" w:rsidP="006E2898">
            <w:pPr>
              <w:jc w:val="center"/>
            </w:pPr>
            <w:r w:rsidRPr="006E2898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</w:tcPr>
          <w:p w:rsidR="00785EC5" w:rsidRDefault="00785EC5" w:rsidP="00785EC5">
            <w:pPr>
              <w:jc w:val="center"/>
            </w:pPr>
            <w:r w:rsidRPr="00247C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</w:tcPr>
          <w:p w:rsidR="00785EC5" w:rsidRPr="006E2898" w:rsidRDefault="00785EC5" w:rsidP="006E2898">
            <w:pPr>
              <w:jc w:val="center"/>
            </w:pPr>
            <w:r w:rsidRPr="006E2898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02" w:type="dxa"/>
          </w:tcPr>
          <w:p w:rsidR="00785EC5" w:rsidRDefault="00785EC5" w:rsidP="00785EC5">
            <w:pPr>
              <w:jc w:val="center"/>
            </w:pPr>
            <w:r w:rsidRPr="00A01C0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85EC5" w:rsidTr="00D50ED1">
        <w:tc>
          <w:tcPr>
            <w:tcW w:w="3085" w:type="dxa"/>
          </w:tcPr>
          <w:p w:rsidR="00785EC5" w:rsidRDefault="00785EC5" w:rsidP="00D50E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0ED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276" w:type="dxa"/>
          </w:tcPr>
          <w:p w:rsidR="00785EC5" w:rsidRDefault="00785EC5" w:rsidP="006E2898">
            <w:pPr>
              <w:jc w:val="center"/>
            </w:pPr>
            <w:r w:rsidRPr="00A41B1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</w:tcPr>
          <w:p w:rsidR="00785EC5" w:rsidRDefault="00785EC5" w:rsidP="00785EC5">
            <w:pPr>
              <w:jc w:val="center"/>
            </w:pPr>
            <w:r w:rsidRPr="00247C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2" w:type="dxa"/>
          </w:tcPr>
          <w:p w:rsidR="00785EC5" w:rsidRDefault="00785EC5" w:rsidP="006E2898">
            <w:pPr>
              <w:jc w:val="center"/>
            </w:pPr>
            <w:r w:rsidRPr="00A41B1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02" w:type="dxa"/>
          </w:tcPr>
          <w:p w:rsidR="00785EC5" w:rsidRDefault="00785EC5" w:rsidP="00785EC5">
            <w:pPr>
              <w:jc w:val="center"/>
            </w:pPr>
            <w:r w:rsidRPr="00A01C0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E6692B" w:rsidRDefault="00E6692B" w:rsidP="00E0404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6692B" w:rsidRDefault="00E6692B" w:rsidP="00B54A5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6692B" w:rsidRDefault="00E6692B" w:rsidP="007107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Информация о налог</w:t>
      </w:r>
      <w:r w:rsidR="00666D02">
        <w:rPr>
          <w:rFonts w:ascii="Times New Roman" w:hAnsi="Times New Roman"/>
          <w:sz w:val="28"/>
          <w:szCs w:val="28"/>
          <w:lang w:eastAsia="ru-RU"/>
        </w:rPr>
        <w:t xml:space="preserve">овых расходах </w:t>
      </w:r>
      <w:proofErr w:type="spellStart"/>
      <w:r w:rsidR="00666D02">
        <w:rPr>
          <w:rFonts w:ascii="Times New Roman" w:hAnsi="Times New Roman"/>
          <w:sz w:val="28"/>
          <w:szCs w:val="28"/>
          <w:lang w:eastAsia="ru-RU"/>
        </w:rPr>
        <w:t>Ситниковского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за период </w:t>
      </w:r>
      <w:r w:rsidR="006E2898">
        <w:rPr>
          <w:rFonts w:ascii="Times New Roman" w:hAnsi="Times New Roman"/>
          <w:sz w:val="28"/>
          <w:szCs w:val="28"/>
          <w:lang w:eastAsia="ru-RU"/>
        </w:rPr>
        <w:t>2019</w:t>
      </w:r>
      <w:r w:rsidRPr="000B5300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>2023 гг. представлена в таблице 2.</w:t>
      </w:r>
    </w:p>
    <w:p w:rsidR="00E6692B" w:rsidRDefault="00E6692B" w:rsidP="007107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6692B" w:rsidRDefault="00E6692B" w:rsidP="00A9149F">
      <w:pPr>
        <w:spacing w:after="0" w:line="240" w:lineRule="auto"/>
        <w:jc w:val="right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Таблица 2</w:t>
      </w:r>
    </w:p>
    <w:p w:rsidR="00E6692B" w:rsidRDefault="00E6692B" w:rsidP="00A9149F">
      <w:pPr>
        <w:spacing w:after="0" w:line="240" w:lineRule="auto"/>
        <w:jc w:val="right"/>
        <w:rPr>
          <w:rFonts w:ascii="Times New Roman" w:hAnsi="Times New Roman"/>
          <w:bCs/>
          <w:iCs/>
          <w:sz w:val="28"/>
          <w:szCs w:val="28"/>
          <w:lang w:eastAsia="ru-RU"/>
        </w:rPr>
      </w:pPr>
    </w:p>
    <w:p w:rsidR="00E6692B" w:rsidRPr="00E6195C" w:rsidRDefault="00E6692B" w:rsidP="00A9149F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highlight w:val="yellow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Информация о налог</w:t>
      </w:r>
      <w:r w:rsidR="00666D02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овых расходах </w:t>
      </w:r>
      <w:proofErr w:type="spellStart"/>
      <w:r w:rsidR="00666D02">
        <w:rPr>
          <w:rFonts w:ascii="Times New Roman" w:hAnsi="Times New Roman"/>
          <w:bCs/>
          <w:iCs/>
          <w:sz w:val="28"/>
          <w:szCs w:val="28"/>
          <w:lang w:eastAsia="ru-RU"/>
        </w:rPr>
        <w:t>Ситниковского</w:t>
      </w:r>
      <w:proofErr w:type="spellEnd"/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сельского поселения за период 2019</w:t>
      </w:r>
      <w:r w:rsidRPr="000B5300">
        <w:rPr>
          <w:rFonts w:ascii="Times New Roman" w:hAnsi="Times New Roman"/>
          <w:bCs/>
          <w:iCs/>
          <w:sz w:val="28"/>
          <w:szCs w:val="28"/>
          <w:lang w:eastAsia="ru-RU"/>
        </w:rPr>
        <w:t>-2023 гг.</w:t>
      </w:r>
    </w:p>
    <w:p w:rsidR="00E6692B" w:rsidRPr="00E6195C" w:rsidRDefault="00E6692B" w:rsidP="00A9149F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highlight w:val="yellow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1985"/>
        <w:gridCol w:w="851"/>
        <w:gridCol w:w="850"/>
        <w:gridCol w:w="851"/>
        <w:gridCol w:w="850"/>
        <w:gridCol w:w="846"/>
      </w:tblGrid>
      <w:tr w:rsidR="00E6692B" w:rsidTr="00C5003C">
        <w:tc>
          <w:tcPr>
            <w:tcW w:w="2518" w:type="dxa"/>
          </w:tcPr>
          <w:p w:rsidR="00E6692B" w:rsidRPr="00625EC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625EC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985" w:type="dxa"/>
          </w:tcPr>
          <w:p w:rsidR="00E6692B" w:rsidRPr="00625EC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625EC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851" w:type="dxa"/>
          </w:tcPr>
          <w:p w:rsidR="00E6692B" w:rsidRPr="00625EC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625EC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850" w:type="dxa"/>
          </w:tcPr>
          <w:p w:rsidR="00E6692B" w:rsidRPr="00625EC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625EC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851" w:type="dxa"/>
          </w:tcPr>
          <w:p w:rsidR="00E6692B" w:rsidRPr="00625EC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625EC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850" w:type="dxa"/>
          </w:tcPr>
          <w:p w:rsidR="00E6692B" w:rsidRPr="00625EC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625EC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846" w:type="dxa"/>
          </w:tcPr>
          <w:p w:rsidR="00E6692B" w:rsidRPr="00625EC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625EC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2023 год</w:t>
            </w:r>
          </w:p>
        </w:tc>
      </w:tr>
      <w:tr w:rsidR="00E6692B" w:rsidTr="00C5003C">
        <w:tc>
          <w:tcPr>
            <w:tcW w:w="8751" w:type="dxa"/>
            <w:gridSpan w:val="7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D50ED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Земельный налог</w:t>
            </w:r>
          </w:p>
        </w:tc>
      </w:tr>
      <w:tr w:rsidR="00E6692B" w:rsidTr="00C5003C">
        <w:tc>
          <w:tcPr>
            <w:tcW w:w="2518" w:type="dxa"/>
            <w:vMerge w:val="restart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D50ED1">
              <w:rPr>
                <w:rFonts w:ascii="Times New Roman" w:hAnsi="Times New Roman"/>
                <w:bCs/>
                <w:iCs/>
                <w:sz w:val="20"/>
                <w:szCs w:val="20"/>
                <w:lang w:eastAsia="ru-RU"/>
              </w:rPr>
              <w:t>Количество налогоплательщиков (физ. лиц)</w:t>
            </w:r>
          </w:p>
        </w:tc>
        <w:tc>
          <w:tcPr>
            <w:tcW w:w="1985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lang w:eastAsia="ru-RU"/>
              </w:rPr>
            </w:pPr>
            <w:r w:rsidRPr="00D50ED1">
              <w:rPr>
                <w:rFonts w:ascii="Times New Roman" w:hAnsi="Times New Roman"/>
                <w:bCs/>
                <w:iCs/>
                <w:lang w:eastAsia="ru-RU"/>
              </w:rPr>
              <w:t>ед.</w:t>
            </w:r>
          </w:p>
        </w:tc>
        <w:tc>
          <w:tcPr>
            <w:tcW w:w="851" w:type="dxa"/>
          </w:tcPr>
          <w:p w:rsidR="00E6692B" w:rsidRPr="00D50ED1" w:rsidRDefault="00666D02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837</w:t>
            </w:r>
          </w:p>
        </w:tc>
        <w:tc>
          <w:tcPr>
            <w:tcW w:w="850" w:type="dxa"/>
          </w:tcPr>
          <w:p w:rsidR="00E6692B" w:rsidRPr="00D50ED1" w:rsidRDefault="00666D02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802</w:t>
            </w:r>
          </w:p>
        </w:tc>
        <w:tc>
          <w:tcPr>
            <w:tcW w:w="851" w:type="dxa"/>
          </w:tcPr>
          <w:p w:rsidR="00E6692B" w:rsidRPr="00D50ED1" w:rsidRDefault="00666D02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801</w:t>
            </w:r>
          </w:p>
        </w:tc>
        <w:tc>
          <w:tcPr>
            <w:tcW w:w="850" w:type="dxa"/>
          </w:tcPr>
          <w:p w:rsidR="00666D02" w:rsidRPr="00D50ED1" w:rsidRDefault="00666D02" w:rsidP="00666D0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791</w:t>
            </w:r>
          </w:p>
        </w:tc>
        <w:tc>
          <w:tcPr>
            <w:tcW w:w="846" w:type="dxa"/>
          </w:tcPr>
          <w:p w:rsidR="00E6692B" w:rsidRPr="00D50ED1" w:rsidRDefault="008C30F1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773</w:t>
            </w:r>
          </w:p>
        </w:tc>
      </w:tr>
      <w:tr w:rsidR="00E6692B" w:rsidTr="00C5003C">
        <w:tc>
          <w:tcPr>
            <w:tcW w:w="2518" w:type="dxa"/>
            <w:vMerge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E6692B" w:rsidRPr="00D50ED1" w:rsidRDefault="00E6692B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lang w:eastAsia="ru-RU"/>
              </w:rPr>
            </w:pPr>
            <w:r w:rsidRPr="00D50ED1">
              <w:rPr>
                <w:rFonts w:ascii="Times New Roman" w:hAnsi="Times New Roman"/>
                <w:bCs/>
                <w:iCs/>
                <w:lang w:eastAsia="ru-RU"/>
              </w:rPr>
              <w:t>% к прошлому году</w:t>
            </w:r>
          </w:p>
        </w:tc>
        <w:tc>
          <w:tcPr>
            <w:tcW w:w="851" w:type="dxa"/>
          </w:tcPr>
          <w:p w:rsidR="00E6692B" w:rsidRPr="00D50ED1" w:rsidRDefault="00177D09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0" w:type="dxa"/>
          </w:tcPr>
          <w:p w:rsidR="00E6692B" w:rsidRPr="00D50ED1" w:rsidRDefault="00177D09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9</w:t>
            </w:r>
            <w:r w:rsidR="008C30F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5,8</w:t>
            </w:r>
          </w:p>
        </w:tc>
        <w:tc>
          <w:tcPr>
            <w:tcW w:w="851" w:type="dxa"/>
          </w:tcPr>
          <w:p w:rsidR="00177D09" w:rsidRPr="00D50ED1" w:rsidRDefault="00177D09" w:rsidP="008C30F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9</w:t>
            </w:r>
            <w:r w:rsidR="008C30F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,</w:t>
            </w:r>
            <w:r w:rsidR="008C30F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0" w:type="dxa"/>
          </w:tcPr>
          <w:p w:rsidR="00E6692B" w:rsidRPr="00D50ED1" w:rsidRDefault="008C30F1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98,8</w:t>
            </w:r>
          </w:p>
        </w:tc>
        <w:tc>
          <w:tcPr>
            <w:tcW w:w="846" w:type="dxa"/>
          </w:tcPr>
          <w:p w:rsidR="00E6692B" w:rsidRPr="00D50ED1" w:rsidRDefault="00177D09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97,7</w:t>
            </w:r>
          </w:p>
        </w:tc>
      </w:tr>
      <w:tr w:rsidR="00785EC5" w:rsidTr="00C5003C">
        <w:tc>
          <w:tcPr>
            <w:tcW w:w="2518" w:type="dxa"/>
            <w:vMerge w:val="restart"/>
          </w:tcPr>
          <w:p w:rsidR="00785EC5" w:rsidRPr="00C72A17" w:rsidRDefault="00785EC5" w:rsidP="00092BCB">
            <w:pPr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 w:rsidRPr="00C72A17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Количество налогоплательщиков которым представлены льготы (физ</w:t>
            </w:r>
            <w:proofErr w:type="gramStart"/>
            <w:r w:rsidRPr="00C72A17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.л</w:t>
            </w:r>
            <w:proofErr w:type="gramEnd"/>
            <w:r w:rsidRPr="00C72A17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иц)</w:t>
            </w:r>
          </w:p>
        </w:tc>
        <w:tc>
          <w:tcPr>
            <w:tcW w:w="1985" w:type="dxa"/>
          </w:tcPr>
          <w:p w:rsidR="00785EC5" w:rsidRPr="00FB3DFB" w:rsidRDefault="00785EC5" w:rsidP="00092BCB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FB3DFB">
              <w:rPr>
                <w:rFonts w:ascii="Times New Roman" w:eastAsia="Times New Roman" w:hAnsi="Times New Roman"/>
                <w:bCs/>
                <w:iCs/>
                <w:lang w:eastAsia="ru-RU"/>
              </w:rPr>
              <w:t>ед.</w:t>
            </w:r>
          </w:p>
        </w:tc>
        <w:tc>
          <w:tcPr>
            <w:tcW w:w="851" w:type="dxa"/>
          </w:tcPr>
          <w:p w:rsidR="00785EC5" w:rsidRDefault="00C5003C" w:rsidP="00092BCB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</w:tcPr>
          <w:p w:rsidR="00785EC5" w:rsidRDefault="00666D02" w:rsidP="00092BCB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1" w:type="dxa"/>
          </w:tcPr>
          <w:p w:rsidR="00785EC5" w:rsidRDefault="00666D02" w:rsidP="00092BCB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0" w:type="dxa"/>
          </w:tcPr>
          <w:p w:rsidR="00785EC5" w:rsidRDefault="008C30F1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46" w:type="dxa"/>
          </w:tcPr>
          <w:p w:rsidR="00785EC5" w:rsidRDefault="008C30F1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785EC5" w:rsidTr="00C5003C">
        <w:tc>
          <w:tcPr>
            <w:tcW w:w="2518" w:type="dxa"/>
            <w:vMerge/>
          </w:tcPr>
          <w:p w:rsidR="00785EC5" w:rsidRPr="00C72A17" w:rsidRDefault="00785EC5" w:rsidP="00092BCB">
            <w:pPr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785EC5" w:rsidRPr="00FB3DFB" w:rsidRDefault="00785EC5" w:rsidP="00092BCB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FB3DFB">
              <w:rPr>
                <w:rFonts w:ascii="Times New Roman" w:eastAsia="Times New Roman" w:hAnsi="Times New Roman"/>
                <w:bCs/>
                <w:iCs/>
                <w:lang w:eastAsia="ru-RU"/>
              </w:rPr>
              <w:t>% к прошлому году</w:t>
            </w:r>
          </w:p>
        </w:tc>
        <w:tc>
          <w:tcPr>
            <w:tcW w:w="851" w:type="dxa"/>
          </w:tcPr>
          <w:p w:rsidR="00785EC5" w:rsidRDefault="00785EC5" w:rsidP="00092BCB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850" w:type="dxa"/>
          </w:tcPr>
          <w:p w:rsidR="00785EC5" w:rsidRDefault="008C30F1" w:rsidP="00092BCB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3</w:t>
            </w:r>
            <w:r w:rsidR="00C5003C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851" w:type="dxa"/>
          </w:tcPr>
          <w:p w:rsidR="00785EC5" w:rsidRDefault="00C5003C" w:rsidP="00092BCB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10</w:t>
            </w:r>
            <w:r w:rsidR="00785EC5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50" w:type="dxa"/>
          </w:tcPr>
          <w:p w:rsidR="00785EC5" w:rsidRDefault="008C30F1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116</w:t>
            </w:r>
            <w:r w:rsidR="00C5003C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46" w:type="dxa"/>
          </w:tcPr>
          <w:p w:rsidR="00785EC5" w:rsidRDefault="008C30F1" w:rsidP="008C30F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114</w:t>
            </w:r>
            <w:r w:rsidR="00C5003C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3</w:t>
            </w:r>
          </w:p>
        </w:tc>
      </w:tr>
      <w:tr w:rsidR="00785EC5" w:rsidTr="00C5003C">
        <w:tc>
          <w:tcPr>
            <w:tcW w:w="2518" w:type="dxa"/>
            <w:vMerge w:val="restart"/>
          </w:tcPr>
          <w:p w:rsidR="00785EC5" w:rsidRPr="00C72A17" w:rsidRDefault="00785EC5" w:rsidP="00092BCB">
            <w:pPr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Сумма налога подлежащая уплате в бюджет (физ</w:t>
            </w:r>
            <w:proofErr w:type="gramStart"/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.л</w:t>
            </w:r>
            <w:proofErr w:type="gramEnd"/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иц)</w:t>
            </w:r>
          </w:p>
        </w:tc>
        <w:tc>
          <w:tcPr>
            <w:tcW w:w="1985" w:type="dxa"/>
          </w:tcPr>
          <w:p w:rsidR="00785EC5" w:rsidRPr="00FB3DFB" w:rsidRDefault="00785EC5" w:rsidP="00092BCB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уб</w:t>
            </w:r>
            <w:proofErr w:type="spellEnd"/>
          </w:p>
        </w:tc>
        <w:tc>
          <w:tcPr>
            <w:tcW w:w="851" w:type="dxa"/>
          </w:tcPr>
          <w:p w:rsidR="00785EC5" w:rsidRDefault="00666D02" w:rsidP="00666D02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541</w:t>
            </w:r>
          </w:p>
        </w:tc>
        <w:tc>
          <w:tcPr>
            <w:tcW w:w="850" w:type="dxa"/>
          </w:tcPr>
          <w:p w:rsidR="00785EC5" w:rsidRDefault="00666D02" w:rsidP="00092BCB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549</w:t>
            </w:r>
          </w:p>
        </w:tc>
        <w:tc>
          <w:tcPr>
            <w:tcW w:w="851" w:type="dxa"/>
          </w:tcPr>
          <w:p w:rsidR="00785EC5" w:rsidRDefault="00666D02" w:rsidP="00092BCB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581</w:t>
            </w:r>
          </w:p>
        </w:tc>
        <w:tc>
          <w:tcPr>
            <w:tcW w:w="850" w:type="dxa"/>
          </w:tcPr>
          <w:p w:rsidR="00785EC5" w:rsidRDefault="008C30F1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659</w:t>
            </w:r>
          </w:p>
        </w:tc>
        <w:tc>
          <w:tcPr>
            <w:tcW w:w="846" w:type="dxa"/>
          </w:tcPr>
          <w:p w:rsidR="00785EC5" w:rsidRDefault="008C30F1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737</w:t>
            </w:r>
          </w:p>
        </w:tc>
      </w:tr>
      <w:tr w:rsidR="00785EC5" w:rsidTr="00C5003C">
        <w:tc>
          <w:tcPr>
            <w:tcW w:w="2518" w:type="dxa"/>
            <w:vMerge/>
          </w:tcPr>
          <w:p w:rsidR="00785EC5" w:rsidRPr="00C72A17" w:rsidRDefault="00785EC5" w:rsidP="00092BCB">
            <w:pPr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785EC5" w:rsidRPr="00FB3DFB" w:rsidRDefault="00785EC5" w:rsidP="00092BCB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FB3DFB">
              <w:rPr>
                <w:rFonts w:ascii="Times New Roman" w:eastAsia="Times New Roman" w:hAnsi="Times New Roman"/>
                <w:bCs/>
                <w:iCs/>
                <w:lang w:eastAsia="ru-RU"/>
              </w:rPr>
              <w:t>% к прошлому году</w:t>
            </w:r>
          </w:p>
        </w:tc>
        <w:tc>
          <w:tcPr>
            <w:tcW w:w="851" w:type="dxa"/>
          </w:tcPr>
          <w:p w:rsidR="00785EC5" w:rsidRDefault="00177D09" w:rsidP="00092BCB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0" w:type="dxa"/>
          </w:tcPr>
          <w:p w:rsidR="00785EC5" w:rsidRDefault="008C30F1" w:rsidP="00092BCB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101,5</w:t>
            </w:r>
          </w:p>
        </w:tc>
        <w:tc>
          <w:tcPr>
            <w:tcW w:w="851" w:type="dxa"/>
          </w:tcPr>
          <w:p w:rsidR="00785EC5" w:rsidRDefault="00177D09" w:rsidP="008C30F1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10</w:t>
            </w:r>
            <w:r w:rsidR="008C30F1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,</w:t>
            </w:r>
            <w:r w:rsidR="008C30F1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0" w:type="dxa"/>
          </w:tcPr>
          <w:p w:rsidR="00785EC5" w:rsidRDefault="00177D09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113,</w:t>
            </w:r>
            <w:r w:rsidR="008C30F1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46" w:type="dxa"/>
          </w:tcPr>
          <w:p w:rsidR="00785EC5" w:rsidRDefault="008C30F1" w:rsidP="008C30F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111</w:t>
            </w:r>
            <w:r w:rsidR="00177D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C5003C" w:rsidTr="00C5003C">
        <w:trPr>
          <w:trHeight w:val="758"/>
        </w:trPr>
        <w:tc>
          <w:tcPr>
            <w:tcW w:w="2518" w:type="dxa"/>
            <w:vMerge w:val="restart"/>
          </w:tcPr>
          <w:p w:rsidR="00C5003C" w:rsidRPr="00C72A17" w:rsidRDefault="00C5003C" w:rsidP="00092BCB">
            <w:pPr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Сумма налога не поступившая в бюджет в связи с предоставлением налогоплательщикам льгот (физ</w:t>
            </w:r>
            <w:proofErr w:type="gramStart"/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.л</w:t>
            </w:r>
            <w:proofErr w:type="gramEnd"/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иц)</w:t>
            </w:r>
          </w:p>
        </w:tc>
        <w:tc>
          <w:tcPr>
            <w:tcW w:w="1985" w:type="dxa"/>
          </w:tcPr>
          <w:p w:rsidR="00C5003C" w:rsidRPr="00FB3DFB" w:rsidRDefault="00C5003C" w:rsidP="00092BCB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уб</w:t>
            </w:r>
            <w:proofErr w:type="spellEnd"/>
          </w:p>
        </w:tc>
        <w:tc>
          <w:tcPr>
            <w:tcW w:w="851" w:type="dxa"/>
          </w:tcPr>
          <w:p w:rsidR="00C5003C" w:rsidRDefault="00666D02" w:rsidP="00092BCB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C5003C" w:rsidRDefault="00666D02" w:rsidP="00092BCB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</w:tcPr>
          <w:p w:rsidR="00C5003C" w:rsidRDefault="00666D02" w:rsidP="00092BCB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</w:tcPr>
          <w:p w:rsidR="00C5003C" w:rsidRDefault="008C30F1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46" w:type="dxa"/>
          </w:tcPr>
          <w:p w:rsidR="00C5003C" w:rsidRDefault="008C30F1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5</w:t>
            </w:r>
          </w:p>
        </w:tc>
      </w:tr>
      <w:tr w:rsidR="00C5003C" w:rsidTr="00C5003C">
        <w:trPr>
          <w:trHeight w:val="757"/>
        </w:trPr>
        <w:tc>
          <w:tcPr>
            <w:tcW w:w="2518" w:type="dxa"/>
            <w:vMerge/>
          </w:tcPr>
          <w:p w:rsidR="00C5003C" w:rsidRDefault="00C5003C" w:rsidP="00092BCB">
            <w:pPr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C5003C" w:rsidRPr="00FB3DFB" w:rsidRDefault="00C5003C" w:rsidP="00092BCB">
            <w:pPr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FB3DFB">
              <w:rPr>
                <w:rFonts w:ascii="Times New Roman" w:eastAsia="Times New Roman" w:hAnsi="Times New Roman"/>
                <w:bCs/>
                <w:iCs/>
                <w:lang w:eastAsia="ru-RU"/>
              </w:rPr>
              <w:t>% к прошлому году</w:t>
            </w:r>
          </w:p>
        </w:tc>
        <w:tc>
          <w:tcPr>
            <w:tcW w:w="851" w:type="dxa"/>
          </w:tcPr>
          <w:p w:rsidR="00C5003C" w:rsidRDefault="00666D02" w:rsidP="00092BCB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10</w:t>
            </w:r>
            <w:r w:rsidR="00C5003C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C5003C" w:rsidRDefault="008C30F1" w:rsidP="00092BCB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40</w:t>
            </w:r>
            <w:r w:rsidR="00C5003C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</w:tcPr>
          <w:p w:rsidR="00C5003C" w:rsidRDefault="008C30F1" w:rsidP="00092BCB">
            <w:pPr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850" w:type="dxa"/>
          </w:tcPr>
          <w:p w:rsidR="00C5003C" w:rsidRDefault="008C30F1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133,3</w:t>
            </w:r>
          </w:p>
        </w:tc>
        <w:tc>
          <w:tcPr>
            <w:tcW w:w="846" w:type="dxa"/>
          </w:tcPr>
          <w:p w:rsidR="00C5003C" w:rsidRDefault="008C30F1" w:rsidP="00D50ED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125,0</w:t>
            </w:r>
          </w:p>
        </w:tc>
      </w:tr>
    </w:tbl>
    <w:p w:rsidR="00E6692B" w:rsidRDefault="00E6692B" w:rsidP="00A9149F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lang w:eastAsia="ru-RU"/>
        </w:rPr>
      </w:pPr>
    </w:p>
    <w:p w:rsidR="00E6692B" w:rsidRDefault="00E6692B" w:rsidP="00FB3DFB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lang w:eastAsia="ru-RU"/>
        </w:rPr>
      </w:pPr>
    </w:p>
    <w:p w:rsidR="00E6692B" w:rsidRDefault="00E6692B" w:rsidP="00FB3DFB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Оценка эффективности применения налоговых расходов </w:t>
      </w:r>
      <w:proofErr w:type="spellStart"/>
      <w:r w:rsidR="008C30F1">
        <w:rPr>
          <w:rFonts w:ascii="Times New Roman" w:hAnsi="Times New Roman"/>
          <w:bCs/>
          <w:iCs/>
          <w:sz w:val="28"/>
          <w:szCs w:val="28"/>
          <w:lang w:eastAsia="ru-RU"/>
        </w:rPr>
        <w:t>Ситниковского</w:t>
      </w:r>
      <w:proofErr w:type="spellEnd"/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сельского поселения</w:t>
      </w:r>
    </w:p>
    <w:p w:rsidR="00E6692B" w:rsidRDefault="00E6692B" w:rsidP="00FB3DFB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lang w:eastAsia="ru-RU"/>
        </w:rPr>
      </w:pPr>
    </w:p>
    <w:p w:rsidR="00E6692B" w:rsidRDefault="00E6692B" w:rsidP="001375CD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   По итогам оценки эффективности налоговых расходов </w:t>
      </w:r>
      <w:r w:rsidR="005E69F7">
        <w:rPr>
          <w:rFonts w:ascii="Times New Roman" w:hAnsi="Times New Roman"/>
          <w:bCs/>
          <w:iCs/>
          <w:sz w:val="28"/>
          <w:szCs w:val="28"/>
          <w:lang w:eastAsia="ru-RU"/>
        </w:rPr>
        <w:t>подготовлен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сводный отчет об оценке эффективности налоговых расходов, содержащий результаты оценки налоговых расходов:</w:t>
      </w:r>
    </w:p>
    <w:p w:rsidR="00E6692B" w:rsidRDefault="00E6692B" w:rsidP="00831F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  - Оценка эффективности налоговых расходов «Освобождение от уплаты земельного налога налогоплательщиков (физических лиц) в отношении земельных участков, представленных </w:t>
      </w:r>
      <w:r>
        <w:rPr>
          <w:rFonts w:ascii="Times New Roman" w:hAnsi="Times New Roman"/>
          <w:sz w:val="28"/>
          <w:szCs w:val="28"/>
          <w:lang w:eastAsia="ru-RU"/>
        </w:rPr>
        <w:t>ветеранам и инвалидам Великой Отечественной войны, а также ветераны боевых действий в отношении земель сельскохозяйственного назначения, земель населенных пунктов»</w:t>
      </w:r>
    </w:p>
    <w:p w:rsidR="00E6692B" w:rsidRDefault="00E6692B" w:rsidP="00831F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Налоговый расход соответствует цели муниципальной программы </w:t>
      </w:r>
      <w:r w:rsidRPr="008C30F1">
        <w:rPr>
          <w:rFonts w:ascii="Times New Roman" w:hAnsi="Times New Roman"/>
          <w:sz w:val="28"/>
          <w:szCs w:val="28"/>
          <w:lang w:eastAsia="ru-RU"/>
        </w:rPr>
        <w:t xml:space="preserve">«Развитие экономического потенциала </w:t>
      </w:r>
      <w:proofErr w:type="spellStart"/>
      <w:r w:rsidR="008C30F1" w:rsidRPr="008C30F1">
        <w:rPr>
          <w:rFonts w:ascii="Times New Roman" w:hAnsi="Times New Roman"/>
          <w:bCs/>
          <w:iCs/>
          <w:sz w:val="28"/>
          <w:szCs w:val="28"/>
          <w:lang w:eastAsia="ru-RU"/>
        </w:rPr>
        <w:t>Ситниковского</w:t>
      </w:r>
      <w:proofErr w:type="spellEnd"/>
      <w:r w:rsidRPr="008C30F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8C30F1">
        <w:rPr>
          <w:rFonts w:ascii="Times New Roman" w:hAnsi="Times New Roman"/>
          <w:sz w:val="28"/>
          <w:szCs w:val="28"/>
          <w:lang w:eastAsia="ru-RU"/>
        </w:rPr>
        <w:t>Нижнеомского</w:t>
      </w:r>
      <w:proofErr w:type="spellEnd"/>
      <w:r w:rsidRPr="008C30F1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Омской области (2014-2026гг.)».</w:t>
      </w:r>
    </w:p>
    <w:p w:rsidR="00E6692B" w:rsidRDefault="00E6692B" w:rsidP="00831F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Налоговый расход относится к категории «социальных» налоговых расходов, целью которого является социальная поддержка населения.</w:t>
      </w:r>
    </w:p>
    <w:p w:rsidR="00E6692B" w:rsidRDefault="00585C44" w:rsidP="00831F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Льгота </w:t>
      </w:r>
      <w:r w:rsidR="00E6692B">
        <w:rPr>
          <w:rFonts w:ascii="Times New Roman" w:hAnsi="Times New Roman"/>
          <w:sz w:val="28"/>
          <w:szCs w:val="28"/>
          <w:lang w:eastAsia="ru-RU"/>
        </w:rPr>
        <w:t>востребована с года начала ее представления.</w:t>
      </w:r>
    </w:p>
    <w:p w:rsidR="00E6692B" w:rsidRDefault="00E6692B" w:rsidP="00831F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Более результативные альтернативные механизмы достижения цели не выявлены.</w:t>
      </w:r>
    </w:p>
    <w:p w:rsidR="00E6692B" w:rsidRDefault="00E6692B" w:rsidP="00831F06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На основании проведенной оценки целесообразности и результативности налогового расхода предложено сохранить льготу.</w:t>
      </w:r>
    </w:p>
    <w:p w:rsidR="00E6692B" w:rsidRPr="00F709FE" w:rsidRDefault="00E6692B" w:rsidP="00F709FE">
      <w:pPr>
        <w:spacing w:after="0" w:line="240" w:lineRule="auto"/>
        <w:rPr>
          <w:rFonts w:ascii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iCs/>
          <w:sz w:val="28"/>
          <w:szCs w:val="28"/>
          <w:lang w:eastAsia="ru-RU"/>
        </w:rPr>
        <w:t> </w:t>
      </w:r>
    </w:p>
    <w:p w:rsidR="00E6692B" w:rsidRPr="00F709FE" w:rsidRDefault="00E6692B" w:rsidP="008C30F1">
      <w:pPr>
        <w:spacing w:after="0" w:line="240" w:lineRule="auto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F709FE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          </w:t>
      </w:r>
    </w:p>
    <w:sectPr w:rsidR="00E6692B" w:rsidRPr="00F709FE" w:rsidSect="00514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D2E21"/>
    <w:multiLevelType w:val="multilevel"/>
    <w:tmpl w:val="CE32C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4461B84"/>
    <w:multiLevelType w:val="hybridMultilevel"/>
    <w:tmpl w:val="D834E88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4114"/>
    <w:rsid w:val="00042CBD"/>
    <w:rsid w:val="00057886"/>
    <w:rsid w:val="000B5300"/>
    <w:rsid w:val="0010582F"/>
    <w:rsid w:val="001375CD"/>
    <w:rsid w:val="00177D09"/>
    <w:rsid w:val="001E055F"/>
    <w:rsid w:val="00212ABA"/>
    <w:rsid w:val="0038418C"/>
    <w:rsid w:val="003A024E"/>
    <w:rsid w:val="003B486D"/>
    <w:rsid w:val="003E7E92"/>
    <w:rsid w:val="004C3538"/>
    <w:rsid w:val="004C70F6"/>
    <w:rsid w:val="004D1CDB"/>
    <w:rsid w:val="004F1A14"/>
    <w:rsid w:val="0051496C"/>
    <w:rsid w:val="00545E52"/>
    <w:rsid w:val="00585C44"/>
    <w:rsid w:val="005E69F7"/>
    <w:rsid w:val="00606197"/>
    <w:rsid w:val="00625EC1"/>
    <w:rsid w:val="00633C77"/>
    <w:rsid w:val="00666D02"/>
    <w:rsid w:val="00677D07"/>
    <w:rsid w:val="006E2898"/>
    <w:rsid w:val="006F3620"/>
    <w:rsid w:val="00710708"/>
    <w:rsid w:val="00723B8A"/>
    <w:rsid w:val="00743475"/>
    <w:rsid w:val="00785EC5"/>
    <w:rsid w:val="007C643C"/>
    <w:rsid w:val="00825F4D"/>
    <w:rsid w:val="00831F06"/>
    <w:rsid w:val="008628B4"/>
    <w:rsid w:val="00872938"/>
    <w:rsid w:val="008C0575"/>
    <w:rsid w:val="008C30F1"/>
    <w:rsid w:val="009B4114"/>
    <w:rsid w:val="009E6FE9"/>
    <w:rsid w:val="00A9149F"/>
    <w:rsid w:val="00AE333D"/>
    <w:rsid w:val="00B139C3"/>
    <w:rsid w:val="00B54A56"/>
    <w:rsid w:val="00BA22A2"/>
    <w:rsid w:val="00BA42CE"/>
    <w:rsid w:val="00C423D2"/>
    <w:rsid w:val="00C5003C"/>
    <w:rsid w:val="00CD36E0"/>
    <w:rsid w:val="00D50ED1"/>
    <w:rsid w:val="00D83DF4"/>
    <w:rsid w:val="00DA6AED"/>
    <w:rsid w:val="00E0404C"/>
    <w:rsid w:val="00E34B78"/>
    <w:rsid w:val="00E6195C"/>
    <w:rsid w:val="00E6692B"/>
    <w:rsid w:val="00E70AA9"/>
    <w:rsid w:val="00E97D5A"/>
    <w:rsid w:val="00EB309F"/>
    <w:rsid w:val="00EB7D80"/>
    <w:rsid w:val="00F27567"/>
    <w:rsid w:val="00F52A36"/>
    <w:rsid w:val="00F705D9"/>
    <w:rsid w:val="00F709FE"/>
    <w:rsid w:val="00FB3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5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404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EB309F"/>
    <w:pPr>
      <w:widowControl w:val="0"/>
      <w:autoSpaceDE w:val="0"/>
      <w:autoSpaceDN w:val="0"/>
    </w:pPr>
    <w:rPr>
      <w:rFonts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90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8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Белосток</dc:creator>
  <cp:lastModifiedBy>User</cp:lastModifiedBy>
  <cp:revision>10</cp:revision>
  <dcterms:created xsi:type="dcterms:W3CDTF">2024-08-16T10:42:00Z</dcterms:created>
  <dcterms:modified xsi:type="dcterms:W3CDTF">2024-09-12T05:46:00Z</dcterms:modified>
</cp:coreProperties>
</file>